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119"/>
        <w:gridCol w:w="1559"/>
        <w:gridCol w:w="4394"/>
      </w:tblGrid>
      <w:tr w:rsidR="007200BF" w:rsidRPr="007200BF" w:rsidTr="002D51C6">
        <w:trPr>
          <w:cantSplit/>
          <w:trHeight w:val="1985"/>
        </w:trPr>
        <w:tc>
          <w:tcPr>
            <w:tcW w:w="1418" w:type="dxa"/>
            <w:vMerge w:val="restart"/>
            <w:hideMark/>
          </w:tcPr>
          <w:p w:rsidR="007200BF" w:rsidRPr="007200BF" w:rsidRDefault="007200BF" w:rsidP="007200B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fr-CH"/>
              </w:rPr>
            </w:pPr>
          </w:p>
        </w:tc>
        <w:tc>
          <w:tcPr>
            <w:tcW w:w="3119" w:type="dxa"/>
            <w:vAlign w:val="center"/>
          </w:tcPr>
          <w:p w:rsidR="007200BF" w:rsidRPr="007200BF" w:rsidRDefault="007200BF" w:rsidP="007200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559" w:type="dxa"/>
          </w:tcPr>
          <w:p w:rsidR="007200BF" w:rsidRPr="007200BF" w:rsidRDefault="007200BF" w:rsidP="007200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394" w:type="dxa"/>
            <w:vMerge w:val="restart"/>
          </w:tcPr>
          <w:p w:rsidR="007200BF" w:rsidRPr="007200BF" w:rsidRDefault="007200BF" w:rsidP="007200BF">
            <w:pPr>
              <w:spacing w:after="0" w:line="240" w:lineRule="auto"/>
              <w:ind w:left="-59"/>
              <w:rPr>
                <w:rFonts w:eastAsia="Times New Roman" w:cs="Times New Roman"/>
                <w:szCs w:val="20"/>
                <w:lang w:eastAsia="fr-CH"/>
              </w:rPr>
            </w:pPr>
          </w:p>
          <w:p w:rsidR="007200BF" w:rsidRPr="007200BF" w:rsidRDefault="007200BF" w:rsidP="007200BF">
            <w:pPr>
              <w:spacing w:after="0" w:line="240" w:lineRule="auto"/>
              <w:ind w:left="-59"/>
              <w:rPr>
                <w:rFonts w:eastAsia="Times New Roman" w:cs="Times New Roman"/>
                <w:szCs w:val="20"/>
                <w:lang w:eastAsia="fr-CH"/>
              </w:rPr>
            </w:pPr>
          </w:p>
          <w:p w:rsidR="007200BF" w:rsidRPr="007200BF" w:rsidRDefault="007200BF" w:rsidP="007200BF">
            <w:pPr>
              <w:spacing w:after="0" w:line="240" w:lineRule="auto"/>
              <w:ind w:left="-59"/>
              <w:rPr>
                <w:rFonts w:eastAsia="Times New Roman" w:cs="Times New Roman"/>
                <w:szCs w:val="20"/>
                <w:lang w:eastAsia="fr-CH"/>
              </w:rPr>
            </w:pPr>
          </w:p>
          <w:p w:rsidR="007200BF" w:rsidRPr="007200BF" w:rsidRDefault="007200BF" w:rsidP="007200BF">
            <w:pPr>
              <w:spacing w:after="0" w:line="240" w:lineRule="auto"/>
              <w:ind w:left="-59"/>
              <w:rPr>
                <w:rFonts w:eastAsia="Times New Roman" w:cs="Times New Roman"/>
                <w:szCs w:val="20"/>
                <w:lang w:eastAsia="fr-CH"/>
              </w:rPr>
            </w:pPr>
          </w:p>
          <w:p w:rsidR="007200BF" w:rsidRPr="007200BF" w:rsidRDefault="007200BF" w:rsidP="007200BF">
            <w:pPr>
              <w:spacing w:after="0" w:line="240" w:lineRule="auto"/>
              <w:ind w:left="-59"/>
              <w:rPr>
                <w:rFonts w:eastAsia="Times New Roman" w:cs="Times New Roman"/>
                <w:szCs w:val="20"/>
                <w:lang w:eastAsia="fr-CH"/>
              </w:rPr>
            </w:pPr>
          </w:p>
          <w:p w:rsidR="007200BF" w:rsidRPr="007200BF" w:rsidRDefault="007200BF" w:rsidP="007200BF">
            <w:pPr>
              <w:spacing w:after="0" w:line="240" w:lineRule="auto"/>
              <w:ind w:left="-59"/>
              <w:rPr>
                <w:rFonts w:eastAsia="Times New Roman" w:cs="Times New Roman"/>
                <w:szCs w:val="20"/>
                <w:lang w:eastAsia="fr-CH"/>
              </w:rPr>
            </w:pPr>
            <w:r w:rsidRPr="007200BF">
              <w:rPr>
                <w:rFonts w:eastAsia="Times New Roman" w:cs="Times New Roman"/>
                <w:szCs w:val="20"/>
                <w:lang w:eastAsia="fr-CH"/>
              </w:rPr>
              <w:t>Aux habitants</w:t>
            </w:r>
          </w:p>
          <w:p w:rsidR="007200BF" w:rsidRPr="007200BF" w:rsidRDefault="007200BF" w:rsidP="007200BF">
            <w:pPr>
              <w:spacing w:after="0" w:line="240" w:lineRule="auto"/>
              <w:ind w:left="-57"/>
              <w:rPr>
                <w:rFonts w:eastAsia="Times New Roman" w:cs="Times New Roman"/>
                <w:szCs w:val="20"/>
                <w:lang w:eastAsia="fr-CH"/>
              </w:rPr>
            </w:pPr>
            <w:r w:rsidRPr="007200BF">
              <w:rPr>
                <w:rFonts w:eastAsia="Times New Roman" w:cs="Times New Roman"/>
                <w:szCs w:val="20"/>
                <w:lang w:eastAsia="fr-CH"/>
              </w:rPr>
              <w:t>De la Commune de …………</w:t>
            </w:r>
          </w:p>
          <w:p w:rsidR="007200BF" w:rsidRPr="007200BF" w:rsidRDefault="007200BF" w:rsidP="007200BF">
            <w:pPr>
              <w:spacing w:after="0" w:line="240" w:lineRule="auto"/>
              <w:ind w:left="-57"/>
              <w:rPr>
                <w:rFonts w:eastAsia="Times New Roman" w:cs="Times New Roman"/>
                <w:szCs w:val="20"/>
                <w:lang w:eastAsia="fr-CH"/>
              </w:rPr>
            </w:pPr>
            <w:r w:rsidRPr="007200BF">
              <w:rPr>
                <w:rFonts w:eastAsia="Times New Roman" w:cs="Times New Roman"/>
                <w:szCs w:val="20"/>
                <w:lang w:eastAsia="fr-CH"/>
              </w:rPr>
              <w:t>Route du Village</w:t>
            </w:r>
          </w:p>
          <w:p w:rsidR="007200BF" w:rsidRPr="007200BF" w:rsidRDefault="007200BF" w:rsidP="007200BF">
            <w:pPr>
              <w:spacing w:after="0" w:line="240" w:lineRule="auto"/>
              <w:ind w:left="-57"/>
              <w:rPr>
                <w:rFonts w:eastAsia="Times New Roman" w:cs="Times New Roman"/>
                <w:szCs w:val="20"/>
                <w:lang w:eastAsia="fr-CH"/>
              </w:rPr>
            </w:pPr>
            <w:r w:rsidRPr="007200BF">
              <w:rPr>
                <w:rFonts w:eastAsia="Times New Roman" w:cs="Times New Roman"/>
                <w:szCs w:val="20"/>
                <w:lang w:eastAsia="fr-CH"/>
              </w:rPr>
              <w:t xml:space="preserve">Case postale </w:t>
            </w:r>
          </w:p>
          <w:p w:rsidR="007200BF" w:rsidRPr="007200BF" w:rsidRDefault="007200BF" w:rsidP="007200BF">
            <w:pPr>
              <w:spacing w:after="0" w:line="240" w:lineRule="auto"/>
              <w:ind w:left="-57"/>
              <w:rPr>
                <w:rFonts w:eastAsia="Times New Roman" w:cs="Times New Roman"/>
                <w:szCs w:val="20"/>
                <w:lang w:eastAsia="fr-CH"/>
              </w:rPr>
            </w:pPr>
            <w:r w:rsidRPr="007200BF">
              <w:rPr>
                <w:rFonts w:eastAsia="Times New Roman" w:cs="Times New Roman"/>
                <w:szCs w:val="20"/>
                <w:lang w:eastAsia="fr-CH"/>
              </w:rPr>
              <w:t>0000 ………………</w:t>
            </w:r>
          </w:p>
          <w:p w:rsidR="007200BF" w:rsidRPr="007200BF" w:rsidRDefault="007200BF" w:rsidP="007200BF">
            <w:pPr>
              <w:spacing w:after="0" w:line="240" w:lineRule="auto"/>
              <w:ind w:left="-57"/>
              <w:rPr>
                <w:rFonts w:eastAsia="Times New Roman" w:cs="Times New Roman"/>
                <w:szCs w:val="20"/>
                <w:lang w:eastAsia="fr-CH"/>
              </w:rPr>
            </w:pPr>
          </w:p>
          <w:p w:rsidR="007200BF" w:rsidRPr="007200BF" w:rsidRDefault="007200BF" w:rsidP="007200BF">
            <w:pPr>
              <w:spacing w:after="0" w:line="240" w:lineRule="auto"/>
              <w:ind w:left="-57"/>
              <w:rPr>
                <w:rFonts w:eastAsia="Times New Roman" w:cs="Times New Roman"/>
                <w:sz w:val="24"/>
                <w:szCs w:val="20"/>
                <w:lang w:eastAsia="fr-CH"/>
              </w:rPr>
            </w:pPr>
          </w:p>
        </w:tc>
      </w:tr>
      <w:tr w:rsidR="007200BF" w:rsidRPr="007200BF" w:rsidTr="002D51C6">
        <w:trPr>
          <w:cantSplit/>
        </w:trPr>
        <w:tc>
          <w:tcPr>
            <w:tcW w:w="1418" w:type="dxa"/>
            <w:vMerge/>
            <w:vAlign w:val="center"/>
            <w:hideMark/>
          </w:tcPr>
          <w:p w:rsidR="007200BF" w:rsidRPr="007200BF" w:rsidRDefault="007200BF" w:rsidP="007200BF">
            <w:pPr>
              <w:spacing w:after="0" w:line="240" w:lineRule="auto"/>
              <w:rPr>
                <w:rFonts w:eastAsia="Times New Roman" w:cs="Times New Roman"/>
                <w:szCs w:val="20"/>
                <w:lang w:eastAsia="fr-CH"/>
              </w:rPr>
            </w:pPr>
          </w:p>
        </w:tc>
        <w:tc>
          <w:tcPr>
            <w:tcW w:w="4678" w:type="dxa"/>
            <w:gridSpan w:val="2"/>
          </w:tcPr>
          <w:p w:rsidR="007200BF" w:rsidRPr="007200BF" w:rsidRDefault="007200BF" w:rsidP="007200BF">
            <w:pPr>
              <w:spacing w:after="0" w:line="240" w:lineRule="auto"/>
              <w:ind w:left="72"/>
              <w:rPr>
                <w:rFonts w:eastAsia="Times New Roman" w:cs="Times New Roman"/>
                <w:szCs w:val="20"/>
                <w:lang w:eastAsia="fr-CH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200BF" w:rsidRPr="007200BF" w:rsidRDefault="007200BF" w:rsidP="007200BF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CH"/>
              </w:rPr>
            </w:pPr>
          </w:p>
        </w:tc>
      </w:tr>
    </w:tbl>
    <w:p w:rsidR="007200BF" w:rsidRPr="007200BF" w:rsidRDefault="007200BF" w:rsidP="007200BF">
      <w:pPr>
        <w:tabs>
          <w:tab w:val="left" w:pos="5812"/>
        </w:tabs>
        <w:spacing w:after="0" w:line="240" w:lineRule="auto"/>
        <w:ind w:left="993"/>
        <w:rPr>
          <w:rFonts w:eastAsia="Times New Roman" w:cs="Times New Roman"/>
          <w:szCs w:val="20"/>
          <w:lang w:eastAsia="fr-CH"/>
        </w:rPr>
      </w:pPr>
      <w:r w:rsidRPr="007200BF">
        <w:rPr>
          <w:rFonts w:eastAsia="Times New Roman" w:cs="Times New Roman"/>
          <w:szCs w:val="20"/>
          <w:lang w:eastAsia="fr-CH"/>
        </w:rPr>
        <w:tab/>
        <w:t>…………, le</w:t>
      </w:r>
      <w:proofErr w:type="gramStart"/>
      <w:r w:rsidRPr="007200BF">
        <w:rPr>
          <w:rFonts w:eastAsia="Times New Roman" w:cs="Times New Roman"/>
          <w:szCs w:val="20"/>
          <w:lang w:eastAsia="fr-CH"/>
        </w:rPr>
        <w:t>..</w:t>
      </w:r>
      <w:proofErr w:type="gramEnd"/>
      <w:r w:rsidRPr="007200BF">
        <w:rPr>
          <w:rFonts w:eastAsia="Times New Roman" w:cs="Times New Roman"/>
          <w:szCs w:val="20"/>
          <w:lang w:eastAsia="fr-CH"/>
        </w:rPr>
        <w:t xml:space="preserve"> avril 20</w:t>
      </w:r>
      <w:r>
        <w:rPr>
          <w:rFonts w:eastAsia="Times New Roman" w:cs="Times New Roman"/>
          <w:szCs w:val="20"/>
          <w:lang w:eastAsia="fr-CH"/>
        </w:rPr>
        <w:t>…</w:t>
      </w:r>
    </w:p>
    <w:p w:rsidR="007200BF" w:rsidRDefault="007200BF" w:rsidP="007200BF">
      <w:pPr>
        <w:pBdr>
          <w:bottom w:val="single" w:sz="6" w:space="1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Default="007200BF" w:rsidP="007200BF">
      <w:pPr>
        <w:pBdr>
          <w:bottom w:val="single" w:sz="6" w:space="1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pBdr>
          <w:bottom w:val="single" w:sz="6" w:space="1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  <w:r w:rsidRPr="007200BF">
        <w:rPr>
          <w:rFonts w:eastAsia="Times New Roman" w:cs="Times New Roman"/>
          <w:b/>
          <w:szCs w:val="20"/>
          <w:lang w:eastAsia="fr-CH"/>
        </w:rPr>
        <w:t xml:space="preserve">Présence de métabolites du </w:t>
      </w:r>
      <w:proofErr w:type="spellStart"/>
      <w:r w:rsidRPr="007200BF">
        <w:rPr>
          <w:rFonts w:eastAsia="Times New Roman" w:cs="Times New Roman"/>
          <w:b/>
          <w:szCs w:val="20"/>
          <w:lang w:eastAsia="fr-CH"/>
        </w:rPr>
        <w:t>chlorothalonil</w:t>
      </w:r>
      <w:proofErr w:type="spellEnd"/>
      <w:r w:rsidRPr="007200BF">
        <w:rPr>
          <w:rFonts w:eastAsia="Times New Roman" w:cs="Times New Roman"/>
          <w:b/>
          <w:szCs w:val="20"/>
          <w:lang w:eastAsia="fr-CH"/>
        </w:rPr>
        <w:t xml:space="preserve"> dans l’eau potable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  <w:r w:rsidRPr="007200BF">
        <w:rPr>
          <w:rFonts w:eastAsia="Times New Roman" w:cs="Times New Roman"/>
          <w:szCs w:val="20"/>
          <w:lang w:eastAsia="fr-CH"/>
        </w:rPr>
        <w:t>Mesdames, Messieurs,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  <w:r w:rsidRPr="007200BF">
        <w:rPr>
          <w:rFonts w:eastAsia="Times New Roman" w:cs="Times New Roman"/>
          <w:szCs w:val="20"/>
          <w:lang w:eastAsia="fr-CH"/>
        </w:rPr>
        <w:t xml:space="preserve">Dans le cadre de son autocontrôle de la distribution d’eau et suite à une analyse des risques, la </w:t>
      </w:r>
      <w:r w:rsidR="00F53EA0">
        <w:rPr>
          <w:rFonts w:eastAsia="Times New Roman" w:cs="Times New Roman"/>
          <w:szCs w:val="20"/>
          <w:lang w:eastAsia="fr-CH"/>
        </w:rPr>
        <w:t>C</w:t>
      </w:r>
      <w:r w:rsidRPr="007200BF">
        <w:rPr>
          <w:rFonts w:eastAsia="Times New Roman" w:cs="Times New Roman"/>
          <w:szCs w:val="20"/>
          <w:lang w:eastAsia="fr-CH"/>
        </w:rPr>
        <w:t xml:space="preserve">ommune effectue des prélèvements d’eau potable à divers endroits du réseau et ceci des captages à la distribution. Ces prélèvements sont effectués tout au long de l’année afin de s’assurer d’une qualité d’eau irréprochable en tout temps. L’Office de la </w:t>
      </w:r>
      <w:r w:rsidR="00F53EA0">
        <w:rPr>
          <w:rFonts w:eastAsia="Times New Roman" w:cs="Times New Roman"/>
          <w:szCs w:val="20"/>
          <w:lang w:eastAsia="fr-CH"/>
        </w:rPr>
        <w:t>c</w:t>
      </w:r>
      <w:r w:rsidRPr="007200BF">
        <w:rPr>
          <w:rFonts w:eastAsia="Times New Roman" w:cs="Times New Roman"/>
          <w:szCs w:val="20"/>
          <w:lang w:eastAsia="fr-CH"/>
        </w:rPr>
        <w:t>onsommation (OFCO) du canton de Vaud, de par son rôle de haute surveillance, procède également ponctuellement à des prélèvements pour analyses</w:t>
      </w:r>
      <w:r w:rsidR="00F53EA0" w:rsidRPr="00F53EA0">
        <w:rPr>
          <w:rFonts w:eastAsia="Times New Roman" w:cs="Times New Roman"/>
          <w:szCs w:val="20"/>
          <w:lang w:eastAsia="fr-CH"/>
        </w:rPr>
        <w:t xml:space="preserve"> </w:t>
      </w:r>
      <w:r w:rsidR="00F53EA0">
        <w:rPr>
          <w:rFonts w:eastAsia="Times New Roman" w:cs="Times New Roman"/>
          <w:szCs w:val="20"/>
          <w:lang w:eastAsia="fr-CH"/>
        </w:rPr>
        <w:t>officielles</w:t>
      </w:r>
      <w:r w:rsidRPr="007200BF">
        <w:rPr>
          <w:rFonts w:eastAsia="Times New Roman" w:cs="Times New Roman"/>
          <w:szCs w:val="20"/>
          <w:lang w:eastAsia="fr-CH"/>
        </w:rPr>
        <w:t>.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  <w:r w:rsidRPr="007200BF">
        <w:rPr>
          <w:rFonts w:eastAsia="Times New Roman" w:cs="Arial"/>
          <w:szCs w:val="20"/>
          <w:lang w:eastAsia="fr-CH"/>
        </w:rPr>
        <w:t>Les dernières analyses effectuées sur le territoire communal démontrent une concentration de métabolites du fongicide</w:t>
      </w:r>
      <w:r w:rsidRPr="007200BF">
        <w:rPr>
          <w:rFonts w:eastAsia="Times New Roman" w:cs="Arial"/>
          <w:color w:val="FF0000"/>
          <w:szCs w:val="20"/>
          <w:lang w:eastAsia="fr-CH"/>
        </w:rPr>
        <w:t xml:space="preserve"> </w:t>
      </w:r>
      <w:proofErr w:type="spellStart"/>
      <w:r w:rsidRPr="007200BF">
        <w:rPr>
          <w:rFonts w:eastAsia="Times New Roman" w:cs="Arial"/>
          <w:szCs w:val="20"/>
          <w:lang w:eastAsia="fr-CH"/>
        </w:rPr>
        <w:t>chlorothalonil</w:t>
      </w:r>
      <w:proofErr w:type="spellEnd"/>
      <w:r w:rsidRPr="007200BF">
        <w:rPr>
          <w:rFonts w:eastAsia="Times New Roman" w:cs="Arial"/>
          <w:szCs w:val="20"/>
          <w:lang w:eastAsia="fr-CH"/>
        </w:rPr>
        <w:t xml:space="preserve"> dépassant la valeur maximale admise</w:t>
      </w:r>
      <w:r w:rsidRPr="007200BF">
        <w:rPr>
          <w:rFonts w:eastAsia="Times New Roman" w:cs="Arial"/>
          <w:lang w:val="fr-FR" w:eastAsia="fr-CH"/>
        </w:rPr>
        <w:t xml:space="preserve"> de l’Ordonnance du DFI sur l’eau potable et l’eau des installations de baignade et de douche accessibles au public (OPBD</w:t>
      </w:r>
      <w:r w:rsidR="00F53EA0">
        <w:rPr>
          <w:rFonts w:eastAsia="Times New Roman" w:cs="Arial"/>
          <w:lang w:val="fr-FR" w:eastAsia="fr-CH"/>
        </w:rPr>
        <w:t>, RS 817.022.11</w:t>
      </w:r>
      <w:r w:rsidRPr="007200BF">
        <w:rPr>
          <w:rFonts w:eastAsia="Times New Roman" w:cs="Arial"/>
          <w:lang w:val="fr-FR" w:eastAsia="fr-CH"/>
        </w:rPr>
        <w:t>).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  <w:r w:rsidRPr="007200BF">
        <w:rPr>
          <w:rFonts w:eastAsia="Times New Roman" w:cs="Times New Roman"/>
          <w:szCs w:val="20"/>
          <w:lang w:eastAsia="fr-CH"/>
        </w:rPr>
        <w:t>Malgré le fait que cette eau ne présente pas de danger immédiat pour la santé et peut continuer à être consommée</w:t>
      </w:r>
      <w:r w:rsidR="00F5417C">
        <w:rPr>
          <w:rFonts w:eastAsia="Times New Roman" w:cs="Times New Roman"/>
          <w:szCs w:val="20"/>
          <w:lang w:eastAsia="fr-CH"/>
        </w:rPr>
        <w:t xml:space="preserve"> sans hésitation</w:t>
      </w:r>
      <w:r w:rsidRPr="007200BF">
        <w:rPr>
          <w:rFonts w:eastAsia="Times New Roman" w:cs="Times New Roman"/>
          <w:szCs w:val="20"/>
          <w:lang w:eastAsia="fr-CH"/>
        </w:rPr>
        <w:t>, la Municipalité</w:t>
      </w:r>
      <w:r w:rsidR="00F53EA0">
        <w:rPr>
          <w:rFonts w:eastAsia="Times New Roman" w:cs="Times New Roman"/>
          <w:szCs w:val="20"/>
          <w:lang w:eastAsia="fr-CH"/>
        </w:rPr>
        <w:t>,</w:t>
      </w:r>
      <w:r w:rsidRPr="007200BF">
        <w:rPr>
          <w:rFonts w:eastAsia="Times New Roman" w:cs="Times New Roman"/>
          <w:szCs w:val="20"/>
          <w:lang w:eastAsia="fr-CH"/>
        </w:rPr>
        <w:t xml:space="preserve"> </w:t>
      </w:r>
      <w:r w:rsidR="00F53EA0" w:rsidRPr="007200BF">
        <w:rPr>
          <w:rFonts w:eastAsia="Times New Roman" w:cs="Times New Roman"/>
          <w:szCs w:val="20"/>
          <w:lang w:eastAsia="fr-CH"/>
        </w:rPr>
        <w:t>par principe de précaution</w:t>
      </w:r>
      <w:r w:rsidR="00F53EA0">
        <w:rPr>
          <w:rFonts w:eastAsia="Times New Roman" w:cs="Times New Roman"/>
          <w:szCs w:val="20"/>
          <w:lang w:eastAsia="fr-CH"/>
        </w:rPr>
        <w:t>,</w:t>
      </w:r>
      <w:r w:rsidR="00F53EA0" w:rsidRPr="007200BF">
        <w:rPr>
          <w:rFonts w:eastAsia="Times New Roman" w:cs="Times New Roman"/>
          <w:szCs w:val="20"/>
          <w:lang w:eastAsia="fr-CH"/>
        </w:rPr>
        <w:t xml:space="preserve"> </w:t>
      </w:r>
      <w:r w:rsidRPr="007200BF">
        <w:rPr>
          <w:rFonts w:eastAsia="Times New Roman" w:cs="Times New Roman"/>
          <w:szCs w:val="20"/>
          <w:lang w:eastAsia="fr-CH"/>
        </w:rPr>
        <w:t xml:space="preserve">se doit de trouver des solutions afin de livrer une eau respectant la législation en vigueur. En effet, </w:t>
      </w:r>
      <w:r w:rsidR="00F5417C">
        <w:rPr>
          <w:rFonts w:eastAsia="Times New Roman" w:cs="Times New Roman"/>
          <w:szCs w:val="20"/>
          <w:lang w:eastAsia="fr-CH"/>
        </w:rPr>
        <w:t>en l’état actuel des connaissances, l’innocuité de ces métabolites, à long terme, n’a pas pu être démontrée. Les exigences de qualité pour l’eau potable en Suisse sont très élevées et les pesticides et leurs métabolites pertinents sont sévèrement réglementés.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  <w:bookmarkStart w:id="0" w:name="_GoBack"/>
      <w:bookmarkEnd w:id="0"/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i/>
          <w:szCs w:val="20"/>
          <w:lang w:eastAsia="fr-CH"/>
        </w:rPr>
      </w:pPr>
      <w:r w:rsidRPr="007200BF">
        <w:rPr>
          <w:rFonts w:eastAsia="Times New Roman" w:cs="Times New Roman"/>
          <w:i/>
          <w:szCs w:val="20"/>
          <w:lang w:eastAsia="fr-CH"/>
        </w:rPr>
        <w:t>Nous avons immédiatement pris les mesures correctives suivantes afin que l’eau potable distribuée respecte à nouveau les exigences en vigueur.</w:t>
      </w:r>
    </w:p>
    <w:p w:rsidR="007200BF" w:rsidRPr="007200BF" w:rsidRDefault="007200BF" w:rsidP="007200BF">
      <w:pPr>
        <w:tabs>
          <w:tab w:val="left" w:pos="708"/>
          <w:tab w:val="left" w:pos="4536"/>
        </w:tabs>
        <w:spacing w:after="0" w:line="240" w:lineRule="auto"/>
        <w:ind w:left="993"/>
        <w:jc w:val="both"/>
        <w:rPr>
          <w:rFonts w:eastAsia="Times New Roman" w:cs="Times New Roman"/>
          <w:i/>
          <w:szCs w:val="20"/>
          <w:lang w:eastAsia="fr-CH"/>
        </w:rPr>
      </w:pPr>
      <w:r w:rsidRPr="007200BF">
        <w:rPr>
          <w:rFonts w:eastAsia="Times New Roman" w:cs="Times New Roman"/>
          <w:i/>
          <w:szCs w:val="20"/>
          <w:lang w:eastAsia="fr-CH"/>
        </w:rPr>
        <w:tab/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i/>
          <w:szCs w:val="20"/>
          <w:lang w:eastAsia="fr-CH"/>
        </w:rPr>
      </w:pPr>
      <w:r w:rsidRPr="007200BF">
        <w:rPr>
          <w:rFonts w:eastAsia="Times New Roman" w:cs="Times New Roman"/>
          <w:i/>
          <w:szCs w:val="20"/>
          <w:lang w:eastAsia="fr-CH"/>
        </w:rPr>
        <w:t>− Le puits d’eau souterraine XY touché est dans un premier temps mis hors service.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i/>
          <w:szCs w:val="20"/>
          <w:lang w:eastAsia="fr-CH"/>
        </w:rPr>
      </w:pPr>
      <w:r w:rsidRPr="007200BF">
        <w:rPr>
          <w:rFonts w:eastAsia="Times New Roman" w:cs="Times New Roman"/>
          <w:i/>
          <w:szCs w:val="20"/>
          <w:lang w:eastAsia="fr-CH"/>
        </w:rPr>
        <w:t>− L’eau potable sera mélangée à partir de plusieurs captages afin qu’elle respecte les valeurs maximales prévues par la loi sur les denrées alimentaires lors de sa distribution.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i/>
          <w:szCs w:val="20"/>
          <w:lang w:eastAsia="fr-CH"/>
        </w:rPr>
      </w:pPr>
      <w:r w:rsidRPr="007200BF">
        <w:rPr>
          <w:rFonts w:eastAsia="Times New Roman" w:cs="Times New Roman"/>
          <w:i/>
          <w:szCs w:val="20"/>
          <w:lang w:eastAsia="fr-CH"/>
        </w:rPr>
        <w:t>− L’eau potable sera livrée par le distributeur voisin / groupement de distributeurs XY, dont l’eau potable respecte les exigences en vigueur.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i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center"/>
        <w:rPr>
          <w:rFonts w:eastAsia="Times New Roman" w:cs="Times New Roman"/>
          <w:b/>
          <w:szCs w:val="20"/>
          <w:lang w:eastAsia="fr-CH"/>
        </w:rPr>
      </w:pPr>
      <w:r w:rsidRPr="007200BF">
        <w:rPr>
          <w:rFonts w:eastAsia="Times New Roman" w:cs="Times New Roman"/>
          <w:b/>
          <w:szCs w:val="20"/>
          <w:lang w:eastAsia="fr-CH"/>
        </w:rPr>
        <w:t>OU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center"/>
        <w:rPr>
          <w:rFonts w:eastAsia="Times New Roman" w:cs="Times New Roman"/>
          <w:b/>
          <w:szCs w:val="20"/>
          <w:lang w:eastAsia="fr-CH"/>
        </w:rPr>
      </w:pPr>
    </w:p>
    <w:p w:rsidR="007200BF" w:rsidRPr="009A210C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i/>
          <w:szCs w:val="20"/>
          <w:lang w:eastAsia="fr-CH"/>
        </w:rPr>
      </w:pPr>
      <w:r w:rsidRPr="009A210C">
        <w:rPr>
          <w:rFonts w:eastAsia="Times New Roman" w:cs="Times New Roman"/>
          <w:i/>
          <w:szCs w:val="20"/>
          <w:lang w:eastAsia="fr-CH"/>
        </w:rPr>
        <w:t xml:space="preserve">L’entier de nos ressources étant touché par cette problématique, aucune solution technique immédiate n’est envisageable. 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  <w:r w:rsidRPr="007200BF">
        <w:rPr>
          <w:rFonts w:eastAsia="Times New Roman" w:cs="Times New Roman"/>
          <w:szCs w:val="20"/>
          <w:lang w:eastAsia="fr-CH"/>
        </w:rPr>
        <w:t xml:space="preserve">L’interdiction d’utilisation du </w:t>
      </w:r>
      <w:proofErr w:type="spellStart"/>
      <w:r w:rsidRPr="007200BF">
        <w:rPr>
          <w:rFonts w:eastAsia="Times New Roman" w:cs="Times New Roman"/>
          <w:szCs w:val="20"/>
          <w:lang w:eastAsia="fr-CH"/>
        </w:rPr>
        <w:t>chlorothalonil</w:t>
      </w:r>
      <w:proofErr w:type="spellEnd"/>
      <w:r w:rsidRPr="007200BF">
        <w:rPr>
          <w:rFonts w:eastAsia="Times New Roman" w:cs="Times New Roman"/>
          <w:szCs w:val="20"/>
          <w:lang w:eastAsia="fr-CH"/>
        </w:rPr>
        <w:t xml:space="preserve"> au 1</w:t>
      </w:r>
      <w:r w:rsidRPr="007200BF">
        <w:rPr>
          <w:rFonts w:eastAsia="Times New Roman" w:cs="Times New Roman"/>
          <w:szCs w:val="20"/>
          <w:vertAlign w:val="superscript"/>
          <w:lang w:eastAsia="fr-CH"/>
        </w:rPr>
        <w:t>e</w:t>
      </w:r>
      <w:r w:rsidR="00F53EA0">
        <w:rPr>
          <w:rFonts w:eastAsia="Times New Roman" w:cs="Times New Roman"/>
          <w:szCs w:val="20"/>
          <w:vertAlign w:val="superscript"/>
          <w:lang w:eastAsia="fr-CH"/>
        </w:rPr>
        <w:t>r</w:t>
      </w:r>
      <w:r w:rsidRPr="007200BF">
        <w:rPr>
          <w:rFonts w:eastAsia="Times New Roman" w:cs="Times New Roman"/>
          <w:szCs w:val="20"/>
          <w:lang w:eastAsia="fr-CH"/>
        </w:rPr>
        <w:t xml:space="preserve"> janvier 2020 devrait avoir pour effet un recul progressif de la contamination de l’eau potable, bien qu’il soit difficile, à ce jour, de se positionner sur la durée de sa présence dans nos ressources en eau.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  <w:r w:rsidRPr="007200BF">
        <w:rPr>
          <w:rFonts w:eastAsia="Times New Roman" w:cs="Times New Roman"/>
          <w:szCs w:val="20"/>
          <w:lang w:eastAsia="fr-CH"/>
        </w:rPr>
        <w:t>Nous ne manquerons pas de vous tenir informés sur l’évolution de la concentration de ces métabolites et des mesures prises au fur et à mesure de nos réflexions</w:t>
      </w:r>
      <w:r w:rsidR="00F53EA0">
        <w:rPr>
          <w:rFonts w:eastAsia="Times New Roman" w:cs="Times New Roman"/>
          <w:szCs w:val="20"/>
          <w:lang w:eastAsia="fr-CH"/>
        </w:rPr>
        <w:t>.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  <w:r w:rsidRPr="007200BF">
        <w:rPr>
          <w:rFonts w:eastAsia="Times New Roman" w:cs="Times New Roman"/>
          <w:szCs w:val="20"/>
          <w:lang w:eastAsia="fr-CH"/>
        </w:rPr>
        <w:t>Nous insistons sur le fait que selon l’Office fédéral de la sécurité alimentaire et des affaires vétérinaires (OSAV) :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9A210C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i/>
          <w:szCs w:val="20"/>
          <w:lang w:eastAsia="fr-CH"/>
        </w:rPr>
      </w:pPr>
      <w:r w:rsidRPr="007200BF">
        <w:rPr>
          <w:rFonts w:eastAsia="Times New Roman" w:cs="Times New Roman"/>
          <w:szCs w:val="20"/>
          <w:lang w:eastAsia="fr-CH"/>
        </w:rPr>
        <w:t xml:space="preserve"> </w:t>
      </w:r>
      <w:r w:rsidRPr="009A210C">
        <w:rPr>
          <w:rFonts w:eastAsia="Times New Roman" w:cs="Times New Roman"/>
          <w:i/>
          <w:szCs w:val="20"/>
          <w:lang w:eastAsia="fr-CH"/>
        </w:rPr>
        <w:t xml:space="preserve">« Les consommateurs peuvent continuer de boire de l’eau potable dans laquelle on a détecté des métabolites du </w:t>
      </w:r>
      <w:proofErr w:type="spellStart"/>
      <w:r w:rsidRPr="009A210C">
        <w:rPr>
          <w:rFonts w:eastAsia="Times New Roman" w:cs="Times New Roman"/>
          <w:i/>
          <w:szCs w:val="20"/>
          <w:lang w:eastAsia="fr-CH"/>
        </w:rPr>
        <w:t>chlorothalonil</w:t>
      </w:r>
      <w:proofErr w:type="spellEnd"/>
      <w:r w:rsidRPr="009A210C">
        <w:rPr>
          <w:rFonts w:eastAsia="Times New Roman" w:cs="Times New Roman"/>
          <w:i/>
          <w:szCs w:val="20"/>
          <w:lang w:eastAsia="fr-CH"/>
        </w:rPr>
        <w:t>. Les exigences fixées pour l’eau potable en Suisse sont très élevées »</w:t>
      </w:r>
      <w:r w:rsidRPr="009A210C">
        <w:rPr>
          <w:rFonts w:eastAsia="Times New Roman" w:cs="Times New Roman"/>
          <w:i/>
          <w:szCs w:val="20"/>
          <w:vertAlign w:val="superscript"/>
          <w:lang w:eastAsia="fr-CH"/>
        </w:rPr>
        <w:footnoteReference w:id="1"/>
      </w:r>
      <w:r w:rsidRPr="009A210C">
        <w:rPr>
          <w:rFonts w:eastAsia="Times New Roman" w:cs="Times New Roman"/>
          <w:i/>
          <w:szCs w:val="20"/>
          <w:lang w:eastAsia="fr-CH"/>
        </w:rPr>
        <w:t>.</w:t>
      </w:r>
    </w:p>
    <w:p w:rsidR="007200BF" w:rsidRPr="009A210C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i/>
          <w:szCs w:val="20"/>
          <w:lang w:eastAsia="fr-CH"/>
        </w:rPr>
      </w:pPr>
    </w:p>
    <w:p w:rsidR="007200BF" w:rsidRPr="009A210C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  <w:r w:rsidRPr="007200BF">
        <w:rPr>
          <w:rFonts w:eastAsia="Times New Roman" w:cs="Times New Roman"/>
          <w:szCs w:val="20"/>
          <w:lang w:eastAsia="fr-CH"/>
        </w:rPr>
        <w:t>Nous restons bien sûr à disposition pour toute question utile. Vous trouverez également de plus amples informations dans l’argumentaire de la Société Suisse de l’Industrie du Gaz et des Eaux (SSIGE)</w:t>
      </w:r>
      <w:r w:rsidRPr="007200BF">
        <w:rPr>
          <w:rFonts w:eastAsia="Times New Roman" w:cs="Times New Roman"/>
          <w:szCs w:val="20"/>
          <w:vertAlign w:val="superscript"/>
          <w:lang w:eastAsia="fr-CH"/>
        </w:rPr>
        <w:footnoteReference w:id="2"/>
      </w:r>
      <w:r w:rsidRPr="007200BF">
        <w:rPr>
          <w:rFonts w:eastAsia="Times New Roman" w:cs="Times New Roman"/>
          <w:szCs w:val="20"/>
          <w:lang w:eastAsia="fr-CH"/>
        </w:rPr>
        <w:t>.</w:t>
      </w: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/>
        <w:jc w:val="both"/>
        <w:rPr>
          <w:rFonts w:eastAsia="Times New Roman" w:cs="Times New Roman"/>
          <w:szCs w:val="20"/>
          <w:lang w:eastAsia="fr-CH"/>
        </w:rPr>
      </w:pPr>
    </w:p>
    <w:p w:rsidR="007200BF" w:rsidRPr="007200BF" w:rsidRDefault="007200BF" w:rsidP="007200B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fr-CH"/>
        </w:rPr>
      </w:pPr>
    </w:p>
    <w:p w:rsidR="009C7241" w:rsidRPr="007200BF" w:rsidRDefault="009C7241" w:rsidP="007200BF"/>
    <w:sectPr w:rsidR="009C7241" w:rsidRPr="007200BF" w:rsidSect="001607FA"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51" w:rsidRDefault="004E3851" w:rsidP="001C0182">
      <w:pPr>
        <w:spacing w:after="0" w:line="240" w:lineRule="auto"/>
      </w:pPr>
      <w:r>
        <w:separator/>
      </w:r>
    </w:p>
  </w:endnote>
  <w:endnote w:type="continuationSeparator" w:id="0">
    <w:p w:rsidR="004E3851" w:rsidRDefault="004E3851" w:rsidP="001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300"/>
    </w:tblGrid>
    <w:tr w:rsidR="000C0D7A">
      <w:tc>
        <w:tcPr>
          <w:tcW w:w="100" w:type="pct"/>
        </w:tcPr>
        <w:p w:rsidR="000C0D7A" w:rsidRDefault="000C0D7A">
          <w:pPr>
            <w:pStyle w:val="Default"/>
          </w:pPr>
        </w:p>
      </w:tc>
    </w:tr>
  </w:tbl>
  <w:p w:rsidR="000C0D7A" w:rsidRDefault="000C0D7A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300"/>
    </w:tblGrid>
    <w:tr w:rsidR="000C0D7A">
      <w:tc>
        <w:tcPr>
          <w:tcW w:w="100" w:type="pct"/>
        </w:tcPr>
        <w:p w:rsidR="000C0D7A" w:rsidRDefault="000C0D7A">
          <w:pPr>
            <w:pStyle w:val="Default"/>
          </w:pPr>
        </w:p>
      </w:tc>
    </w:tr>
  </w:tbl>
  <w:p w:rsidR="000C0D7A" w:rsidRDefault="000C0D7A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51" w:rsidRDefault="004E3851" w:rsidP="001C0182">
      <w:pPr>
        <w:spacing w:after="0" w:line="240" w:lineRule="auto"/>
      </w:pPr>
      <w:r>
        <w:separator/>
      </w:r>
    </w:p>
  </w:footnote>
  <w:footnote w:type="continuationSeparator" w:id="0">
    <w:p w:rsidR="004E3851" w:rsidRDefault="004E3851" w:rsidP="001C0182">
      <w:pPr>
        <w:spacing w:after="0" w:line="240" w:lineRule="auto"/>
      </w:pPr>
      <w:r>
        <w:continuationSeparator/>
      </w:r>
    </w:p>
  </w:footnote>
  <w:footnote w:id="1">
    <w:p w:rsidR="007200BF" w:rsidRDefault="007200BF" w:rsidP="007200B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A65FD8">
          <w:rPr>
            <w:rStyle w:val="Lienhypertexte"/>
          </w:rPr>
          <w:t>https://www.blv.admin.ch/blv/fr/home/lebensmittel-und-ernaehrung/lebensmittelsicherheit/stoffe-im-fokus/pflanzenschutzmittel/chlorothalonil.html</w:t>
        </w:r>
      </w:hyperlink>
      <w:r>
        <w:t xml:space="preserve"> </w:t>
      </w:r>
    </w:p>
  </w:footnote>
  <w:footnote w:id="2">
    <w:p w:rsidR="007200BF" w:rsidRDefault="007200BF" w:rsidP="007200B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A65FD8">
          <w:rPr>
            <w:rStyle w:val="Lienhypertexte"/>
          </w:rPr>
          <w:t>https://www.aquaetgas.ch/service/20190720-members-svgw-ssige-ssiga/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070"/>
    </w:tblGrid>
    <w:tr w:rsidR="000C0D7A">
      <w:tc>
        <w:tcPr>
          <w:tcW w:w="100" w:type="pct"/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900"/>
            <w:gridCol w:w="300"/>
          </w:tblGrid>
          <w:tr w:rsidR="000C0D7A">
            <w:tc>
              <w:tcPr>
                <w:tcW w:w="75" w:type="pct"/>
              </w:tcPr>
              <w:p w:rsidR="000C0D7A" w:rsidRDefault="000C0D7A">
                <w:pPr>
                  <w:pStyle w:val="Default"/>
                </w:pPr>
              </w:p>
            </w:tc>
            <w:tc>
              <w:tcPr>
                <w:tcW w:w="25" w:type="pct"/>
              </w:tcPr>
              <w:p w:rsidR="000C0D7A" w:rsidRDefault="000C0D7A">
                <w:pPr>
                  <w:pStyle w:val="Default"/>
                </w:pPr>
              </w:p>
            </w:tc>
          </w:tr>
        </w:tbl>
        <w:p w:rsidR="000C0D7A" w:rsidRDefault="000C0D7A">
          <w:pPr>
            <w:pStyle w:val="Default"/>
          </w:pPr>
        </w:p>
      </w:tc>
    </w:tr>
  </w:tbl>
  <w:p w:rsidR="000C0D7A" w:rsidRDefault="000C0D7A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CFA"/>
    <w:multiLevelType w:val="multilevel"/>
    <w:tmpl w:val="C46875E2"/>
    <w:lvl w:ilvl="0">
      <w:start w:val="1"/>
      <w:numFmt w:val="decimal"/>
      <w:pStyle w:val="Titre1"/>
      <w:lvlText w:val="%1."/>
      <w:lvlJc w:val="left"/>
      <w:pPr>
        <w:tabs>
          <w:tab w:val="num" w:pos="794"/>
        </w:tabs>
        <w:ind w:left="794" w:hanging="794"/>
      </w:pPr>
      <w:rPr>
        <w:sz w:val="24"/>
        <w:szCs w:val="24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64"/>
        </w:tabs>
        <w:ind w:left="964" w:hanging="964"/>
      </w:pPr>
      <w:rPr>
        <w:sz w:val="22"/>
        <w:szCs w:val="22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077"/>
        </w:tabs>
        <w:ind w:left="1077" w:hanging="1077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82"/>
    <w:rsid w:val="00002B01"/>
    <w:rsid w:val="00021E0A"/>
    <w:rsid w:val="000327A4"/>
    <w:rsid w:val="00054C85"/>
    <w:rsid w:val="000C0D7A"/>
    <w:rsid w:val="00104D44"/>
    <w:rsid w:val="00152001"/>
    <w:rsid w:val="001607FA"/>
    <w:rsid w:val="001C0182"/>
    <w:rsid w:val="001D01A4"/>
    <w:rsid w:val="002A2B70"/>
    <w:rsid w:val="003F17C4"/>
    <w:rsid w:val="00415B45"/>
    <w:rsid w:val="00422F27"/>
    <w:rsid w:val="004C120A"/>
    <w:rsid w:val="004E3851"/>
    <w:rsid w:val="004E5453"/>
    <w:rsid w:val="005566BF"/>
    <w:rsid w:val="00561833"/>
    <w:rsid w:val="0058130B"/>
    <w:rsid w:val="005A3866"/>
    <w:rsid w:val="00615356"/>
    <w:rsid w:val="00644164"/>
    <w:rsid w:val="00654341"/>
    <w:rsid w:val="00667D03"/>
    <w:rsid w:val="0069617A"/>
    <w:rsid w:val="006D4362"/>
    <w:rsid w:val="00701DCC"/>
    <w:rsid w:val="007200BF"/>
    <w:rsid w:val="007B59EF"/>
    <w:rsid w:val="008733B4"/>
    <w:rsid w:val="00905D53"/>
    <w:rsid w:val="009A210C"/>
    <w:rsid w:val="009C7241"/>
    <w:rsid w:val="00AC601B"/>
    <w:rsid w:val="00B65080"/>
    <w:rsid w:val="00B703E3"/>
    <w:rsid w:val="00C62842"/>
    <w:rsid w:val="00C86B9B"/>
    <w:rsid w:val="00D54A12"/>
    <w:rsid w:val="00DE1F10"/>
    <w:rsid w:val="00DE2D4A"/>
    <w:rsid w:val="00E118ED"/>
    <w:rsid w:val="00E45622"/>
    <w:rsid w:val="00EE2F4C"/>
    <w:rsid w:val="00F53EA0"/>
    <w:rsid w:val="00F5417C"/>
    <w:rsid w:val="00F65B17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0A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5A3866"/>
    <w:pPr>
      <w:widowControl w:val="0"/>
      <w:numPr>
        <w:numId w:val="1"/>
      </w:numPr>
      <w:tabs>
        <w:tab w:val="clear" w:pos="794"/>
        <w:tab w:val="num" w:pos="1134"/>
      </w:tabs>
      <w:spacing w:before="120" w:after="60" w:line="240" w:lineRule="auto"/>
      <w:ind w:left="1134" w:hanging="1134"/>
      <w:jc w:val="both"/>
      <w:outlineLvl w:val="0"/>
    </w:pPr>
    <w:rPr>
      <w:rFonts w:eastAsia="Times New Roman" w:cs="Times New Roman"/>
      <w:b/>
      <w:kern w:val="28"/>
      <w:sz w:val="24"/>
      <w:szCs w:val="28"/>
      <w:lang w:eastAsia="fr-CH"/>
    </w:rPr>
  </w:style>
  <w:style w:type="paragraph" w:styleId="Titre2">
    <w:name w:val="heading 2"/>
    <w:basedOn w:val="Titre1"/>
    <w:next w:val="Normal"/>
    <w:link w:val="Titre2Car"/>
    <w:qFormat/>
    <w:rsid w:val="005A3866"/>
    <w:pPr>
      <w:numPr>
        <w:ilvl w:val="1"/>
      </w:numPr>
      <w:tabs>
        <w:tab w:val="clear" w:pos="964"/>
        <w:tab w:val="num" w:pos="1134"/>
      </w:tabs>
      <w:ind w:left="1134" w:hanging="1134"/>
      <w:outlineLvl w:val="1"/>
    </w:pPr>
    <w:rPr>
      <w:kern w:val="26"/>
      <w:sz w:val="22"/>
    </w:rPr>
  </w:style>
  <w:style w:type="paragraph" w:styleId="Titre3">
    <w:name w:val="heading 3"/>
    <w:basedOn w:val="Titre2"/>
    <w:next w:val="Normal"/>
    <w:link w:val="Titre3Car"/>
    <w:qFormat/>
    <w:rsid w:val="00C86B9B"/>
    <w:pPr>
      <w:numPr>
        <w:ilvl w:val="2"/>
      </w:numPr>
      <w:tabs>
        <w:tab w:val="clear" w:pos="1077"/>
        <w:tab w:val="left" w:pos="567"/>
      </w:tabs>
      <w:ind w:left="567" w:hanging="567"/>
      <w:outlineLvl w:val="2"/>
    </w:pPr>
    <w:rPr>
      <w:kern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Titre3"/>
    <w:next w:val="Normal"/>
    <w:link w:val="Titre4Car"/>
    <w:qFormat/>
    <w:rsid w:val="00C86B9B"/>
    <w:pPr>
      <w:numPr>
        <w:ilvl w:val="3"/>
      </w:numPr>
      <w:tabs>
        <w:tab w:val="clear" w:pos="1134"/>
      </w:tabs>
      <w:ind w:left="567" w:hanging="567"/>
      <w:outlineLvl w:val="3"/>
    </w:pPr>
    <w:rPr>
      <w:kern w:val="22"/>
    </w:rPr>
  </w:style>
  <w:style w:type="paragraph" w:styleId="Titre5">
    <w:name w:val="heading 5"/>
    <w:basedOn w:val="Titre4"/>
    <w:next w:val="Normal"/>
    <w:link w:val="Titre5Car"/>
    <w:qFormat/>
    <w:rsid w:val="002A2B70"/>
    <w:pPr>
      <w:numPr>
        <w:ilvl w:val="4"/>
      </w:numPr>
      <w:tabs>
        <w:tab w:val="clear" w:pos="1008"/>
      </w:tabs>
      <w:ind w:left="567" w:hanging="567"/>
      <w:outlineLvl w:val="4"/>
    </w:pPr>
    <w:rPr>
      <w:b w:val="0"/>
      <w14:shadow w14:blurRad="0" w14:dist="0" w14:dir="0" w14:sx="0" w14:sy="0" w14:kx="0" w14:ky="0" w14:algn="none">
        <w14:srgbClr w14:val="000000"/>
      </w14:shadow>
    </w:rPr>
  </w:style>
  <w:style w:type="paragraph" w:styleId="Titre6">
    <w:name w:val="heading 6"/>
    <w:basedOn w:val="Body"/>
    <w:pPr>
      <w:keepNext/>
      <w:keepLines/>
      <w:spacing w:before="200" w:after="10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C018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0"/>
      <w:lang w:val="fr-FR"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1C0182"/>
    <w:rPr>
      <w:rFonts w:ascii="Arial" w:eastAsia="Times New Roman" w:hAnsi="Arial" w:cs="Times New Roman"/>
      <w:sz w:val="24"/>
      <w:szCs w:val="20"/>
      <w:lang w:val="fr-FR" w:eastAsia="fr-CH"/>
    </w:rPr>
  </w:style>
  <w:style w:type="table" w:styleId="Grilledutableau">
    <w:name w:val="Table Grid"/>
    <w:basedOn w:val="TableauNormal"/>
    <w:uiPriority w:val="59"/>
    <w:rsid w:val="001C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182"/>
  </w:style>
  <w:style w:type="character" w:customStyle="1" w:styleId="Titre1Car">
    <w:name w:val="Titre 1 Car"/>
    <w:basedOn w:val="Policepardfaut"/>
    <w:link w:val="Titre1"/>
    <w:rsid w:val="005A3866"/>
    <w:rPr>
      <w:rFonts w:ascii="Arial" w:eastAsia="Times New Roman" w:hAnsi="Arial" w:cs="Times New Roman"/>
      <w:b/>
      <w:kern w:val="28"/>
      <w:sz w:val="24"/>
      <w:szCs w:val="28"/>
      <w:lang w:eastAsia="fr-CH"/>
    </w:rPr>
  </w:style>
  <w:style w:type="character" w:customStyle="1" w:styleId="Titre2Car">
    <w:name w:val="Titre 2 Car"/>
    <w:basedOn w:val="Policepardfaut"/>
    <w:link w:val="Titre2"/>
    <w:rsid w:val="005A3866"/>
    <w:rPr>
      <w:rFonts w:ascii="Arial" w:eastAsia="Times New Roman" w:hAnsi="Arial" w:cs="Times New Roman"/>
      <w:b/>
      <w:kern w:val="26"/>
      <w:szCs w:val="28"/>
      <w:lang w:eastAsia="fr-CH"/>
    </w:rPr>
  </w:style>
  <w:style w:type="character" w:customStyle="1" w:styleId="Titre3Car">
    <w:name w:val="Titre 3 Car"/>
    <w:basedOn w:val="Policepardfaut"/>
    <w:link w:val="Titre3"/>
    <w:rsid w:val="00C86B9B"/>
    <w:rPr>
      <w:rFonts w:ascii="Arial" w:eastAsia="Times New Roman" w:hAnsi="Arial" w:cs="Times New Roman"/>
      <w:b/>
      <w:kern w:val="24"/>
      <w:szCs w:val="28"/>
      <w:lang w:eastAsia="fr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4Car">
    <w:name w:val="Titre 4 Car"/>
    <w:basedOn w:val="Policepardfaut"/>
    <w:link w:val="Titre4"/>
    <w:rsid w:val="00C86B9B"/>
    <w:rPr>
      <w:rFonts w:ascii="Arial" w:eastAsia="Times New Roman" w:hAnsi="Arial" w:cs="Times New Roman"/>
      <w:b/>
      <w:kern w:val="22"/>
      <w:szCs w:val="28"/>
      <w:lang w:eastAsia="fr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5Car">
    <w:name w:val="Titre 5 Car"/>
    <w:basedOn w:val="Policepardfaut"/>
    <w:link w:val="Titre5"/>
    <w:rsid w:val="002A2B70"/>
    <w:rPr>
      <w:rFonts w:ascii="Arial" w:eastAsia="Times New Roman" w:hAnsi="Arial" w:cs="Times New Roman"/>
      <w:i/>
      <w:kern w:val="22"/>
      <w:szCs w:val="20"/>
      <w:lang w:eastAsia="fr-CH"/>
    </w:rPr>
  </w:style>
  <w:style w:type="character" w:styleId="Lienhypertexte">
    <w:name w:val="Hyperlink"/>
    <w:basedOn w:val="Policepardfaut"/>
    <w:uiPriority w:val="99"/>
    <w:unhideWhenUsed/>
    <w:rsid w:val="007200BF"/>
    <w:rPr>
      <w:rFonts w:cs="Times New Roman"/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00BF"/>
    <w:pPr>
      <w:spacing w:after="0" w:line="240" w:lineRule="auto"/>
    </w:pPr>
    <w:rPr>
      <w:rFonts w:eastAsia="Times New Roman" w:cs="Times New Roman"/>
      <w:sz w:val="20"/>
      <w:szCs w:val="20"/>
      <w:lang w:val="fr-FR"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00BF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7200BF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EA0"/>
    <w:rPr>
      <w:rFonts w:ascii="Segoe UI" w:hAnsi="Segoe UI" w:cs="Segoe UI"/>
      <w:sz w:val="18"/>
      <w:szCs w:val="18"/>
    </w:rPr>
  </w:style>
  <w:style w:type="paragraph" w:customStyle="1" w:styleId="Body">
    <w:name w:val="Body"/>
    <w:semiHidden/>
    <w:pPr>
      <w:spacing w:before="60" w:after="60" w:line="240" w:lineRule="auto"/>
    </w:pPr>
    <w:rPr>
      <w:rFonts w:ascii="Arial" w:hAnsi="Arial"/>
      <w:color w:val="000000"/>
      <w:sz w:val="2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Fusszeile">
    <w:name w:val="Fusszeile"/>
    <w:basedOn w:val="Default"/>
    <w:rPr>
      <w:sz w:val="16"/>
    </w:rPr>
  </w:style>
  <w:style w:type="character" w:customStyle="1" w:styleId="Titreressources1">
    <w:name w:val="Titre ressources 1"/>
    <w:rPr>
      <w:b/>
      <w:sz w:val="24"/>
    </w:rPr>
  </w:style>
  <w:style w:type="character" w:customStyle="1" w:styleId="Titreressources2">
    <w:name w:val="Titre ressources 2"/>
    <w:rPr>
      <w:b/>
      <w:sz w:val="20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Titreressources">
    <w:name w:val="Titre ressources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bottom w:w="0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0A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5A3866"/>
    <w:pPr>
      <w:widowControl w:val="0"/>
      <w:numPr>
        <w:numId w:val="1"/>
      </w:numPr>
      <w:tabs>
        <w:tab w:val="clear" w:pos="794"/>
        <w:tab w:val="num" w:pos="1134"/>
      </w:tabs>
      <w:spacing w:before="120" w:after="60" w:line="240" w:lineRule="auto"/>
      <w:ind w:left="1134" w:hanging="1134"/>
      <w:jc w:val="both"/>
      <w:outlineLvl w:val="0"/>
    </w:pPr>
    <w:rPr>
      <w:rFonts w:eastAsia="Times New Roman" w:cs="Times New Roman"/>
      <w:b/>
      <w:kern w:val="28"/>
      <w:sz w:val="24"/>
      <w:szCs w:val="28"/>
      <w:lang w:eastAsia="fr-CH"/>
    </w:rPr>
  </w:style>
  <w:style w:type="paragraph" w:styleId="Titre2">
    <w:name w:val="heading 2"/>
    <w:basedOn w:val="Titre1"/>
    <w:next w:val="Normal"/>
    <w:link w:val="Titre2Car"/>
    <w:qFormat/>
    <w:rsid w:val="005A3866"/>
    <w:pPr>
      <w:numPr>
        <w:ilvl w:val="1"/>
      </w:numPr>
      <w:tabs>
        <w:tab w:val="clear" w:pos="964"/>
        <w:tab w:val="num" w:pos="1134"/>
      </w:tabs>
      <w:ind w:left="1134" w:hanging="1134"/>
      <w:outlineLvl w:val="1"/>
    </w:pPr>
    <w:rPr>
      <w:kern w:val="26"/>
      <w:sz w:val="22"/>
    </w:rPr>
  </w:style>
  <w:style w:type="paragraph" w:styleId="Titre3">
    <w:name w:val="heading 3"/>
    <w:basedOn w:val="Titre2"/>
    <w:next w:val="Normal"/>
    <w:link w:val="Titre3Car"/>
    <w:qFormat/>
    <w:rsid w:val="00C86B9B"/>
    <w:pPr>
      <w:numPr>
        <w:ilvl w:val="2"/>
      </w:numPr>
      <w:tabs>
        <w:tab w:val="clear" w:pos="1077"/>
        <w:tab w:val="left" w:pos="567"/>
      </w:tabs>
      <w:ind w:left="567" w:hanging="567"/>
      <w:outlineLvl w:val="2"/>
    </w:pPr>
    <w:rPr>
      <w:kern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Titre3"/>
    <w:next w:val="Normal"/>
    <w:link w:val="Titre4Car"/>
    <w:qFormat/>
    <w:rsid w:val="00C86B9B"/>
    <w:pPr>
      <w:numPr>
        <w:ilvl w:val="3"/>
      </w:numPr>
      <w:tabs>
        <w:tab w:val="clear" w:pos="1134"/>
      </w:tabs>
      <w:ind w:left="567" w:hanging="567"/>
      <w:outlineLvl w:val="3"/>
    </w:pPr>
    <w:rPr>
      <w:kern w:val="22"/>
    </w:rPr>
  </w:style>
  <w:style w:type="paragraph" w:styleId="Titre5">
    <w:name w:val="heading 5"/>
    <w:basedOn w:val="Titre4"/>
    <w:next w:val="Normal"/>
    <w:link w:val="Titre5Car"/>
    <w:qFormat/>
    <w:rsid w:val="002A2B70"/>
    <w:pPr>
      <w:numPr>
        <w:ilvl w:val="4"/>
      </w:numPr>
      <w:tabs>
        <w:tab w:val="clear" w:pos="1008"/>
      </w:tabs>
      <w:ind w:left="567" w:hanging="567"/>
      <w:outlineLvl w:val="4"/>
    </w:pPr>
    <w:rPr>
      <w:b w:val="0"/>
      <w14:shadow w14:blurRad="0" w14:dist="0" w14:dir="0" w14:sx="0" w14:sy="0" w14:kx="0" w14:ky="0" w14:algn="none">
        <w14:srgbClr w14:val="000000"/>
      </w14:shadow>
    </w:rPr>
  </w:style>
  <w:style w:type="paragraph" w:styleId="Titre6">
    <w:name w:val="heading 6"/>
    <w:basedOn w:val="Body"/>
    <w:pPr>
      <w:keepNext/>
      <w:keepLines/>
      <w:spacing w:before="200" w:after="10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C018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0"/>
      <w:lang w:val="fr-FR"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1C0182"/>
    <w:rPr>
      <w:rFonts w:ascii="Arial" w:eastAsia="Times New Roman" w:hAnsi="Arial" w:cs="Times New Roman"/>
      <w:sz w:val="24"/>
      <w:szCs w:val="20"/>
      <w:lang w:val="fr-FR" w:eastAsia="fr-CH"/>
    </w:rPr>
  </w:style>
  <w:style w:type="table" w:styleId="Grilledutableau">
    <w:name w:val="Table Grid"/>
    <w:basedOn w:val="TableauNormal"/>
    <w:uiPriority w:val="59"/>
    <w:rsid w:val="001C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182"/>
  </w:style>
  <w:style w:type="character" w:customStyle="1" w:styleId="Titre1Car">
    <w:name w:val="Titre 1 Car"/>
    <w:basedOn w:val="Policepardfaut"/>
    <w:link w:val="Titre1"/>
    <w:rsid w:val="005A3866"/>
    <w:rPr>
      <w:rFonts w:ascii="Arial" w:eastAsia="Times New Roman" w:hAnsi="Arial" w:cs="Times New Roman"/>
      <w:b/>
      <w:kern w:val="28"/>
      <w:sz w:val="24"/>
      <w:szCs w:val="28"/>
      <w:lang w:eastAsia="fr-CH"/>
    </w:rPr>
  </w:style>
  <w:style w:type="character" w:customStyle="1" w:styleId="Titre2Car">
    <w:name w:val="Titre 2 Car"/>
    <w:basedOn w:val="Policepardfaut"/>
    <w:link w:val="Titre2"/>
    <w:rsid w:val="005A3866"/>
    <w:rPr>
      <w:rFonts w:ascii="Arial" w:eastAsia="Times New Roman" w:hAnsi="Arial" w:cs="Times New Roman"/>
      <w:b/>
      <w:kern w:val="26"/>
      <w:szCs w:val="28"/>
      <w:lang w:eastAsia="fr-CH"/>
    </w:rPr>
  </w:style>
  <w:style w:type="character" w:customStyle="1" w:styleId="Titre3Car">
    <w:name w:val="Titre 3 Car"/>
    <w:basedOn w:val="Policepardfaut"/>
    <w:link w:val="Titre3"/>
    <w:rsid w:val="00C86B9B"/>
    <w:rPr>
      <w:rFonts w:ascii="Arial" w:eastAsia="Times New Roman" w:hAnsi="Arial" w:cs="Times New Roman"/>
      <w:b/>
      <w:kern w:val="24"/>
      <w:szCs w:val="28"/>
      <w:lang w:eastAsia="fr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4Car">
    <w:name w:val="Titre 4 Car"/>
    <w:basedOn w:val="Policepardfaut"/>
    <w:link w:val="Titre4"/>
    <w:rsid w:val="00C86B9B"/>
    <w:rPr>
      <w:rFonts w:ascii="Arial" w:eastAsia="Times New Roman" w:hAnsi="Arial" w:cs="Times New Roman"/>
      <w:b/>
      <w:kern w:val="22"/>
      <w:szCs w:val="28"/>
      <w:lang w:eastAsia="fr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5Car">
    <w:name w:val="Titre 5 Car"/>
    <w:basedOn w:val="Policepardfaut"/>
    <w:link w:val="Titre5"/>
    <w:rsid w:val="002A2B70"/>
    <w:rPr>
      <w:rFonts w:ascii="Arial" w:eastAsia="Times New Roman" w:hAnsi="Arial" w:cs="Times New Roman"/>
      <w:i/>
      <w:kern w:val="22"/>
      <w:szCs w:val="20"/>
      <w:lang w:eastAsia="fr-CH"/>
    </w:rPr>
  </w:style>
  <w:style w:type="character" w:styleId="Lienhypertexte">
    <w:name w:val="Hyperlink"/>
    <w:basedOn w:val="Policepardfaut"/>
    <w:uiPriority w:val="99"/>
    <w:unhideWhenUsed/>
    <w:rsid w:val="007200BF"/>
    <w:rPr>
      <w:rFonts w:cs="Times New Roman"/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00BF"/>
    <w:pPr>
      <w:spacing w:after="0" w:line="240" w:lineRule="auto"/>
    </w:pPr>
    <w:rPr>
      <w:rFonts w:eastAsia="Times New Roman" w:cs="Times New Roman"/>
      <w:sz w:val="20"/>
      <w:szCs w:val="20"/>
      <w:lang w:val="fr-FR"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00BF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7200BF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EA0"/>
    <w:rPr>
      <w:rFonts w:ascii="Segoe UI" w:hAnsi="Segoe UI" w:cs="Segoe UI"/>
      <w:sz w:val="18"/>
      <w:szCs w:val="18"/>
    </w:rPr>
  </w:style>
  <w:style w:type="paragraph" w:customStyle="1" w:styleId="Body">
    <w:name w:val="Body"/>
    <w:semiHidden/>
    <w:pPr>
      <w:spacing w:before="60" w:after="60" w:line="240" w:lineRule="auto"/>
    </w:pPr>
    <w:rPr>
      <w:rFonts w:ascii="Arial" w:hAnsi="Arial"/>
      <w:color w:val="000000"/>
      <w:sz w:val="2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Fusszeile">
    <w:name w:val="Fusszeile"/>
    <w:basedOn w:val="Default"/>
    <w:rPr>
      <w:sz w:val="16"/>
    </w:rPr>
  </w:style>
  <w:style w:type="character" w:customStyle="1" w:styleId="Titreressources1">
    <w:name w:val="Titre ressources 1"/>
    <w:rPr>
      <w:b/>
      <w:sz w:val="24"/>
    </w:rPr>
  </w:style>
  <w:style w:type="character" w:customStyle="1" w:styleId="Titreressources2">
    <w:name w:val="Titre ressources 2"/>
    <w:rPr>
      <w:b/>
      <w:sz w:val="20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Titreressources">
    <w:name w:val="Titre ressources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bottom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quaetgas.ch/service/20190720-members-svgw-ssige-ssiga/" TargetMode="External"/><Relationship Id="rId1" Type="http://schemas.openxmlformats.org/officeDocument/2006/relationships/hyperlink" Target="https://www.blv.admin.ch/blv/fr/home/lebensmittel-und-ernaehrung/lebensmittelsicherheit/stoffe-im-fokus/pflanzenschutzmittel/chlorothaloni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0D4E61E968345882514141FBB3A91" ma:contentTypeVersion="8" ma:contentTypeDescription="Crée un document." ma:contentTypeScope="" ma:versionID="9444744ff65f468474eab1ea91c4b2a6">
  <xsd:schema xmlns:xsd="http://www.w3.org/2001/XMLSchema" xmlns:xs="http://www.w3.org/2001/XMLSchema" xmlns:p="http://schemas.microsoft.com/office/2006/metadata/properties" xmlns:ns2="27101999-e791-4ce3-8756-37c89931d210" xmlns:ns3="3d56404e-64f3-49b0-ae79-240e39af5e71" targetNamespace="http://schemas.microsoft.com/office/2006/metadata/properties" ma:root="true" ma:fieldsID="db9b4f5544fa184ac5870f45395975cb" ns2:_="" ns3:_="">
    <xsd:import namespace="27101999-e791-4ce3-8756-37c89931d210"/>
    <xsd:import namespace="3d56404e-64f3-49b0-ae79-240e39af5e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1999-e791-4ce3-8756-37c89931d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404e-64f3-49b0-ae79-240e39af5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459FC-80CA-4A64-A23F-62C427A58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7EF4D-30BA-489F-85D1-1B7C6CFE0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01999-e791-4ce3-8756-37c89931d210"/>
    <ds:schemaRef ds:uri="3d56404e-64f3-49b0-ae79-240e39af5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8D3B7-B647-4A2D-869E-2994442DF694}">
  <ds:schemaRefs>
    <ds:schemaRef ds:uri="27101999-e791-4ce3-8756-37c89931d210"/>
    <ds:schemaRef ds:uri="http://schemas.microsoft.com/office/2006/documentManagement/types"/>
    <ds:schemaRef ds:uri="3d56404e-64f3-49b0-ae79-240e39af5e7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BARRONDAS Julie</dc:creator>
  <cp:lastModifiedBy>Ducry Julien</cp:lastModifiedBy>
  <cp:revision>2</cp:revision>
  <cp:lastPrinted>2019-02-14T13:01:00Z</cp:lastPrinted>
  <dcterms:created xsi:type="dcterms:W3CDTF">2020-05-27T05:52:00Z</dcterms:created>
  <dcterms:modified xsi:type="dcterms:W3CDTF">2020-05-27T05:52:00Z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0x0101001790D4E61E968345882514141FBB3A91</vt:lpwstr>
  </property>
</Properties>
</file>