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31"/>
        <w:tblW w:w="0" w:type="auto"/>
        <w:tblLook w:val="01E0" w:firstRow="1" w:lastRow="1" w:firstColumn="1" w:lastColumn="1" w:noHBand="0" w:noVBand="0"/>
      </w:tblPr>
      <w:tblGrid>
        <w:gridCol w:w="1119"/>
        <w:gridCol w:w="5400"/>
      </w:tblGrid>
      <w:tr w:rsidR="00076BB7" w14:paraId="4EF4D48A" w14:textId="77777777" w:rsidTr="00076BB7">
        <w:tc>
          <w:tcPr>
            <w:tcW w:w="1119" w:type="dxa"/>
            <w:vMerge w:val="restart"/>
            <w:shd w:val="clear" w:color="auto" w:fill="auto"/>
          </w:tcPr>
          <w:p w14:paraId="4CEB3632" w14:textId="77777777" w:rsidR="00076BB7" w:rsidRDefault="00076BB7" w:rsidP="00076BB7">
            <w:pPr>
              <w:pStyle w:val="Titre3"/>
            </w:pPr>
            <w:r>
              <w:rPr>
                <w:noProof/>
              </w:rPr>
              <w:drawing>
                <wp:inline distT="0" distB="0" distL="0" distR="0" wp14:anchorId="016A90D9" wp14:editId="4322488C">
                  <wp:extent cx="533400" cy="895350"/>
                  <wp:effectExtent l="0" t="0" r="0" b="0"/>
                  <wp:docPr id="9519109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895350"/>
                          </a:xfrm>
                          <a:prstGeom prst="rect">
                            <a:avLst/>
                          </a:prstGeom>
                          <a:noFill/>
                          <a:ln>
                            <a:noFill/>
                          </a:ln>
                        </pic:spPr>
                      </pic:pic>
                    </a:graphicData>
                  </a:graphic>
                </wp:inline>
              </w:drawing>
            </w:r>
          </w:p>
        </w:tc>
        <w:tc>
          <w:tcPr>
            <w:tcW w:w="5400" w:type="dxa"/>
            <w:shd w:val="clear" w:color="auto" w:fill="auto"/>
          </w:tcPr>
          <w:p w14:paraId="768B0968" w14:textId="77777777" w:rsidR="00076BB7" w:rsidRPr="00D96B50" w:rsidRDefault="00076BB7" w:rsidP="00076BB7">
            <w:pPr>
              <w:tabs>
                <w:tab w:val="center" w:pos="4820"/>
              </w:tabs>
              <w:spacing w:before="120"/>
              <w:rPr>
                <w:b/>
                <w:caps/>
                <w:sz w:val="22"/>
                <w:szCs w:val="22"/>
              </w:rPr>
            </w:pPr>
            <w:r w:rsidRPr="00D96B50">
              <w:rPr>
                <w:b/>
                <w:caps/>
                <w:noProof/>
                <w:sz w:val="22"/>
                <w:szCs w:val="22"/>
              </w:rPr>
              <w:t>Département de la santé et de l'action sociale</w:t>
            </w:r>
            <w:r w:rsidRPr="00D96B50">
              <w:rPr>
                <w:b/>
                <w:caps/>
                <w:sz w:val="22"/>
                <w:szCs w:val="22"/>
              </w:rPr>
              <w:t xml:space="preserve"> </w:t>
            </w:r>
          </w:p>
        </w:tc>
      </w:tr>
      <w:tr w:rsidR="00076BB7" w14:paraId="4C61DAF9" w14:textId="77777777" w:rsidTr="00076BB7">
        <w:trPr>
          <w:trHeight w:val="516"/>
        </w:trPr>
        <w:tc>
          <w:tcPr>
            <w:tcW w:w="1119" w:type="dxa"/>
            <w:vMerge/>
            <w:shd w:val="clear" w:color="auto" w:fill="auto"/>
          </w:tcPr>
          <w:p w14:paraId="218A926B" w14:textId="77777777" w:rsidR="00076BB7" w:rsidRDefault="00076BB7" w:rsidP="00076BB7">
            <w:pPr>
              <w:tabs>
                <w:tab w:val="center" w:pos="4820"/>
              </w:tabs>
              <w:spacing w:before="120" w:after="120"/>
            </w:pPr>
          </w:p>
        </w:tc>
        <w:tc>
          <w:tcPr>
            <w:tcW w:w="5400" w:type="dxa"/>
            <w:vMerge w:val="restart"/>
            <w:shd w:val="clear" w:color="auto" w:fill="auto"/>
            <w:vAlign w:val="center"/>
          </w:tcPr>
          <w:p w14:paraId="5C1FD601" w14:textId="77777777" w:rsidR="00076BB7" w:rsidRPr="00484569" w:rsidRDefault="00076BB7" w:rsidP="00076BB7">
            <w:pPr>
              <w:rPr>
                <w:b/>
                <w:i/>
                <w:sz w:val="22"/>
                <w:szCs w:val="22"/>
              </w:rPr>
            </w:pPr>
            <w:r w:rsidRPr="00D14A10">
              <w:rPr>
                <w:b/>
                <w:i/>
                <w:noProof/>
                <w:sz w:val="22"/>
                <w:szCs w:val="22"/>
                <w:lang w:val="fr-CH"/>
              </w:rPr>
              <w:t>Direction générale de la santé</w:t>
            </w:r>
          </w:p>
        </w:tc>
      </w:tr>
      <w:tr w:rsidR="00076BB7" w14:paraId="5802E07A" w14:textId="77777777" w:rsidTr="00076BB7">
        <w:trPr>
          <w:trHeight w:val="470"/>
        </w:trPr>
        <w:tc>
          <w:tcPr>
            <w:tcW w:w="1119" w:type="dxa"/>
            <w:vMerge/>
            <w:shd w:val="clear" w:color="auto" w:fill="auto"/>
          </w:tcPr>
          <w:p w14:paraId="611A70E6" w14:textId="77777777" w:rsidR="00076BB7" w:rsidRDefault="00076BB7" w:rsidP="00076BB7">
            <w:pPr>
              <w:tabs>
                <w:tab w:val="center" w:pos="4820"/>
              </w:tabs>
              <w:spacing w:before="120" w:after="120"/>
            </w:pPr>
          </w:p>
        </w:tc>
        <w:tc>
          <w:tcPr>
            <w:tcW w:w="5400" w:type="dxa"/>
            <w:vMerge/>
            <w:shd w:val="clear" w:color="auto" w:fill="auto"/>
            <w:vAlign w:val="center"/>
          </w:tcPr>
          <w:p w14:paraId="4E6A1DB7" w14:textId="77777777" w:rsidR="00076BB7" w:rsidRPr="00484569" w:rsidRDefault="00076BB7" w:rsidP="00076BB7">
            <w:pPr>
              <w:rPr>
                <w:b/>
                <w:i/>
              </w:rPr>
            </w:pPr>
          </w:p>
        </w:tc>
      </w:tr>
    </w:tbl>
    <w:p w14:paraId="01262DDE" w14:textId="77777777" w:rsidR="00076BB7" w:rsidRDefault="00076BB7" w:rsidP="00247631">
      <w:pPr>
        <w:jc w:val="center"/>
        <w:rPr>
          <w:b/>
          <w:bCs/>
          <w:color w:val="000000" w:themeColor="text1"/>
          <w:sz w:val="24"/>
          <w:szCs w:val="24"/>
        </w:rPr>
      </w:pPr>
    </w:p>
    <w:p w14:paraId="5BBFB093" w14:textId="77777777" w:rsidR="00076BB7" w:rsidRDefault="00076BB7" w:rsidP="00076BB7"/>
    <w:p w14:paraId="04F1B2BA" w14:textId="77777777" w:rsidR="00076BB7" w:rsidRDefault="00076BB7" w:rsidP="00076BB7">
      <w:pPr>
        <w:rPr>
          <w:b/>
          <w:bCs/>
          <w:color w:val="000000" w:themeColor="text1"/>
          <w:sz w:val="24"/>
          <w:szCs w:val="24"/>
        </w:rPr>
      </w:pPr>
    </w:p>
    <w:p w14:paraId="1C20A5D0" w14:textId="77777777" w:rsidR="00076BB7" w:rsidRDefault="00076BB7" w:rsidP="00247631">
      <w:pPr>
        <w:jc w:val="center"/>
        <w:rPr>
          <w:b/>
          <w:bCs/>
          <w:color w:val="000000" w:themeColor="text1"/>
          <w:sz w:val="24"/>
          <w:szCs w:val="24"/>
        </w:rPr>
      </w:pPr>
    </w:p>
    <w:p w14:paraId="4AFC8070" w14:textId="77777777" w:rsidR="00076BB7" w:rsidRDefault="00076BB7" w:rsidP="00247631">
      <w:pPr>
        <w:jc w:val="center"/>
        <w:rPr>
          <w:b/>
          <w:bCs/>
          <w:color w:val="000000" w:themeColor="text1"/>
          <w:sz w:val="24"/>
          <w:szCs w:val="24"/>
        </w:rPr>
      </w:pPr>
    </w:p>
    <w:p w14:paraId="28EA619A" w14:textId="77777777" w:rsidR="00076BB7" w:rsidRDefault="00076BB7" w:rsidP="00247631">
      <w:pPr>
        <w:jc w:val="center"/>
        <w:rPr>
          <w:b/>
          <w:bCs/>
          <w:color w:val="000000" w:themeColor="text1"/>
          <w:sz w:val="24"/>
          <w:szCs w:val="24"/>
        </w:rPr>
      </w:pPr>
    </w:p>
    <w:p w14:paraId="50324A6E" w14:textId="77777777" w:rsidR="00076BB7" w:rsidRDefault="00076BB7" w:rsidP="00247631">
      <w:pPr>
        <w:jc w:val="center"/>
        <w:rPr>
          <w:b/>
          <w:bCs/>
          <w:color w:val="000000" w:themeColor="text1"/>
          <w:sz w:val="24"/>
          <w:szCs w:val="24"/>
        </w:rPr>
      </w:pPr>
    </w:p>
    <w:p w14:paraId="7DECD016" w14:textId="42AF0A7E" w:rsidR="005B23AC" w:rsidRPr="00247631" w:rsidRDefault="00247631" w:rsidP="00247631">
      <w:pPr>
        <w:jc w:val="center"/>
        <w:rPr>
          <w:b/>
          <w:bCs/>
          <w:color w:val="000000" w:themeColor="text1"/>
          <w:sz w:val="24"/>
          <w:szCs w:val="24"/>
        </w:rPr>
      </w:pPr>
      <w:r w:rsidRPr="00247631">
        <w:rPr>
          <w:b/>
          <w:bCs/>
          <w:color w:val="000000" w:themeColor="text1"/>
          <w:sz w:val="24"/>
          <w:szCs w:val="24"/>
        </w:rPr>
        <w:t>Nouvelle ordonnance sur le système de santé militaire (</w:t>
      </w:r>
      <w:proofErr w:type="spellStart"/>
      <w:r w:rsidRPr="00247631">
        <w:rPr>
          <w:b/>
          <w:bCs/>
          <w:color w:val="000000" w:themeColor="text1"/>
          <w:sz w:val="24"/>
          <w:szCs w:val="24"/>
        </w:rPr>
        <w:t>OSSMil</w:t>
      </w:r>
      <w:proofErr w:type="spellEnd"/>
      <w:r w:rsidRPr="00247631">
        <w:rPr>
          <w:b/>
          <w:bCs/>
          <w:color w:val="000000" w:themeColor="text1"/>
          <w:sz w:val="24"/>
          <w:szCs w:val="24"/>
        </w:rPr>
        <w:t>) : Procédure de consultation</w:t>
      </w:r>
    </w:p>
    <w:p w14:paraId="61FC8BC4" w14:textId="77777777" w:rsidR="00247631" w:rsidRPr="00247631" w:rsidRDefault="00247631">
      <w:pPr>
        <w:rPr>
          <w:color w:val="000000" w:themeColor="text1"/>
        </w:rPr>
      </w:pPr>
    </w:p>
    <w:p w14:paraId="5A15D25E" w14:textId="77777777" w:rsidR="00247631" w:rsidRDefault="00247631"/>
    <w:p w14:paraId="056AEABD" w14:textId="77777777" w:rsidR="00247631" w:rsidRPr="00247631" w:rsidRDefault="00247631">
      <w:pPr>
        <w:rPr>
          <w:b/>
          <w:bCs/>
          <w:sz w:val="22"/>
          <w:szCs w:val="22"/>
        </w:rPr>
      </w:pPr>
    </w:p>
    <w:p w14:paraId="2AF78AEC" w14:textId="4AB82F06" w:rsidR="00247631" w:rsidRDefault="00247631">
      <w:pPr>
        <w:rPr>
          <w:b/>
          <w:bCs/>
          <w:sz w:val="22"/>
          <w:szCs w:val="22"/>
        </w:rPr>
      </w:pPr>
      <w:r>
        <w:rPr>
          <w:b/>
          <w:bCs/>
          <w:sz w:val="22"/>
          <w:szCs w:val="22"/>
        </w:rPr>
        <w:t>Prise de position du Canton de Vaud</w:t>
      </w:r>
    </w:p>
    <w:p w14:paraId="130EDC1E" w14:textId="77777777" w:rsidR="00247631" w:rsidRDefault="00247631">
      <w:pPr>
        <w:rPr>
          <w:b/>
          <w:bCs/>
          <w:sz w:val="22"/>
          <w:szCs w:val="22"/>
        </w:rPr>
      </w:pPr>
    </w:p>
    <w:p w14:paraId="12360B08" w14:textId="77777777" w:rsidR="00247631" w:rsidRDefault="00247631">
      <w:pPr>
        <w:rPr>
          <w:b/>
          <w:bCs/>
          <w:sz w:val="22"/>
          <w:szCs w:val="22"/>
        </w:rPr>
      </w:pPr>
    </w:p>
    <w:p w14:paraId="313528F8" w14:textId="77777777" w:rsidR="00247631" w:rsidRDefault="00247631">
      <w:pPr>
        <w:rPr>
          <w:sz w:val="22"/>
          <w:szCs w:val="22"/>
        </w:rPr>
      </w:pPr>
    </w:p>
    <w:p w14:paraId="0BA91698" w14:textId="65DB845E" w:rsidR="00247631" w:rsidRDefault="00247631">
      <w:pPr>
        <w:rPr>
          <w:sz w:val="22"/>
          <w:szCs w:val="22"/>
        </w:rPr>
      </w:pPr>
      <w:r>
        <w:rPr>
          <w:sz w:val="22"/>
          <w:szCs w:val="22"/>
        </w:rPr>
        <w:t>Adresse</w:t>
      </w:r>
      <w:r>
        <w:rPr>
          <w:sz w:val="22"/>
          <w:szCs w:val="22"/>
        </w:rPr>
        <w:tab/>
      </w:r>
      <w:r>
        <w:rPr>
          <w:sz w:val="22"/>
          <w:szCs w:val="22"/>
        </w:rPr>
        <w:tab/>
      </w:r>
      <w:r>
        <w:rPr>
          <w:sz w:val="22"/>
          <w:szCs w:val="22"/>
        </w:rPr>
        <w:tab/>
      </w:r>
      <w:r>
        <w:rPr>
          <w:sz w:val="22"/>
          <w:szCs w:val="22"/>
        </w:rPr>
        <w:tab/>
        <w:t>Château cantonal, 1014 Lausanne</w:t>
      </w:r>
    </w:p>
    <w:p w14:paraId="22A1DB08" w14:textId="77777777" w:rsidR="00247631" w:rsidRDefault="00247631">
      <w:pPr>
        <w:rPr>
          <w:sz w:val="22"/>
          <w:szCs w:val="22"/>
        </w:rPr>
      </w:pPr>
    </w:p>
    <w:p w14:paraId="179C5969" w14:textId="77777777" w:rsidR="00247631" w:rsidRDefault="00247631">
      <w:pPr>
        <w:rPr>
          <w:sz w:val="22"/>
          <w:szCs w:val="22"/>
        </w:rPr>
      </w:pPr>
    </w:p>
    <w:p w14:paraId="56E42920" w14:textId="365C8D0F" w:rsidR="00247631" w:rsidRDefault="00247631">
      <w:pPr>
        <w:rPr>
          <w:sz w:val="22"/>
          <w:szCs w:val="22"/>
        </w:rPr>
      </w:pPr>
      <w:r w:rsidRPr="00247631">
        <w:rPr>
          <w:sz w:val="22"/>
          <w:szCs w:val="22"/>
        </w:rPr>
        <w:t>Personne de référence</w:t>
      </w:r>
      <w:r>
        <w:rPr>
          <w:b/>
          <w:bCs/>
          <w:sz w:val="22"/>
          <w:szCs w:val="22"/>
        </w:rPr>
        <w:tab/>
      </w:r>
      <w:r>
        <w:rPr>
          <w:b/>
          <w:bCs/>
          <w:sz w:val="22"/>
          <w:szCs w:val="22"/>
        </w:rPr>
        <w:tab/>
      </w:r>
      <w:r w:rsidRPr="00247631">
        <w:rPr>
          <w:sz w:val="22"/>
          <w:szCs w:val="22"/>
        </w:rPr>
        <w:t>Mme</w:t>
      </w:r>
      <w:r>
        <w:rPr>
          <w:sz w:val="22"/>
          <w:szCs w:val="22"/>
        </w:rPr>
        <w:t xml:space="preserve"> Marie-Christine </w:t>
      </w:r>
      <w:proofErr w:type="spellStart"/>
      <w:r>
        <w:rPr>
          <w:sz w:val="22"/>
          <w:szCs w:val="22"/>
        </w:rPr>
        <w:t>Grouzmann</w:t>
      </w:r>
      <w:proofErr w:type="spellEnd"/>
      <w:r>
        <w:rPr>
          <w:sz w:val="22"/>
          <w:szCs w:val="22"/>
        </w:rPr>
        <w:t>, Pharmacienne cantonale</w:t>
      </w:r>
    </w:p>
    <w:p w14:paraId="7D91210C" w14:textId="77777777" w:rsidR="00247631" w:rsidRDefault="00247631">
      <w:pPr>
        <w:rPr>
          <w:sz w:val="22"/>
          <w:szCs w:val="22"/>
        </w:rPr>
      </w:pPr>
    </w:p>
    <w:p w14:paraId="7C375533" w14:textId="77777777" w:rsidR="00247631" w:rsidRDefault="00247631">
      <w:pPr>
        <w:rPr>
          <w:sz w:val="22"/>
          <w:szCs w:val="22"/>
        </w:rPr>
      </w:pPr>
    </w:p>
    <w:p w14:paraId="4B2DEB8B" w14:textId="1C264AFD" w:rsidR="00247631" w:rsidRDefault="00247631">
      <w:pPr>
        <w:rPr>
          <w:sz w:val="22"/>
          <w:szCs w:val="22"/>
        </w:rPr>
      </w:pPr>
      <w:r>
        <w:rPr>
          <w:sz w:val="22"/>
          <w:szCs w:val="22"/>
        </w:rPr>
        <w:t>Téléphone</w:t>
      </w:r>
      <w:r>
        <w:rPr>
          <w:sz w:val="22"/>
          <w:szCs w:val="22"/>
        </w:rPr>
        <w:tab/>
      </w:r>
      <w:r>
        <w:rPr>
          <w:sz w:val="22"/>
          <w:szCs w:val="22"/>
        </w:rPr>
        <w:tab/>
      </w:r>
      <w:r>
        <w:rPr>
          <w:sz w:val="22"/>
          <w:szCs w:val="22"/>
        </w:rPr>
        <w:tab/>
      </w:r>
      <w:r>
        <w:rPr>
          <w:sz w:val="22"/>
          <w:szCs w:val="22"/>
        </w:rPr>
        <w:tab/>
        <w:t>021 316 42 01</w:t>
      </w:r>
    </w:p>
    <w:p w14:paraId="14E645FC" w14:textId="77777777" w:rsidR="00247631" w:rsidRDefault="00247631">
      <w:pPr>
        <w:rPr>
          <w:sz w:val="22"/>
          <w:szCs w:val="22"/>
        </w:rPr>
      </w:pPr>
    </w:p>
    <w:p w14:paraId="5F7C57D5" w14:textId="77777777" w:rsidR="00247631" w:rsidRDefault="00247631">
      <w:pPr>
        <w:rPr>
          <w:sz w:val="22"/>
          <w:szCs w:val="22"/>
        </w:rPr>
      </w:pPr>
    </w:p>
    <w:p w14:paraId="4F55004A" w14:textId="4E3459FC" w:rsidR="00247631" w:rsidRDefault="00247631">
      <w:pPr>
        <w:rPr>
          <w:sz w:val="22"/>
          <w:szCs w:val="22"/>
        </w:rPr>
      </w:pPr>
      <w:r>
        <w:rPr>
          <w:sz w:val="22"/>
          <w:szCs w:val="22"/>
        </w:rPr>
        <w:t>Courriel</w:t>
      </w:r>
      <w:r>
        <w:rPr>
          <w:sz w:val="22"/>
          <w:szCs w:val="22"/>
        </w:rPr>
        <w:tab/>
      </w:r>
      <w:r>
        <w:rPr>
          <w:sz w:val="22"/>
          <w:szCs w:val="22"/>
        </w:rPr>
        <w:tab/>
      </w:r>
      <w:r>
        <w:rPr>
          <w:sz w:val="22"/>
          <w:szCs w:val="22"/>
        </w:rPr>
        <w:tab/>
      </w:r>
      <w:r>
        <w:rPr>
          <w:sz w:val="22"/>
          <w:szCs w:val="22"/>
        </w:rPr>
        <w:tab/>
      </w:r>
      <w:hyperlink r:id="rId8" w:history="1">
        <w:r w:rsidRPr="00EF196B">
          <w:rPr>
            <w:rStyle w:val="Lienhypertexte"/>
            <w:sz w:val="22"/>
            <w:szCs w:val="22"/>
          </w:rPr>
          <w:t>marie-christine.grouzmann@vd.ch</w:t>
        </w:r>
      </w:hyperlink>
    </w:p>
    <w:p w14:paraId="67DBCE44" w14:textId="77777777" w:rsidR="00247631" w:rsidRDefault="00247631">
      <w:pPr>
        <w:rPr>
          <w:sz w:val="22"/>
          <w:szCs w:val="22"/>
        </w:rPr>
      </w:pPr>
    </w:p>
    <w:p w14:paraId="78376009" w14:textId="77777777" w:rsidR="00247631" w:rsidRDefault="00247631">
      <w:pPr>
        <w:rPr>
          <w:sz w:val="22"/>
          <w:szCs w:val="22"/>
        </w:rPr>
      </w:pPr>
    </w:p>
    <w:p w14:paraId="75CEA9BC" w14:textId="706D46DD" w:rsidR="00247631" w:rsidRDefault="00247631">
      <w:pPr>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sidR="0034105A">
        <w:rPr>
          <w:sz w:val="22"/>
          <w:szCs w:val="22"/>
        </w:rPr>
        <w:t>8</w:t>
      </w:r>
      <w:r>
        <w:rPr>
          <w:sz w:val="22"/>
          <w:szCs w:val="22"/>
        </w:rPr>
        <w:t xml:space="preserve"> </w:t>
      </w:r>
      <w:r w:rsidR="0034105A">
        <w:rPr>
          <w:sz w:val="22"/>
          <w:szCs w:val="22"/>
        </w:rPr>
        <w:t>janvier</w:t>
      </w:r>
      <w:r>
        <w:rPr>
          <w:sz w:val="22"/>
          <w:szCs w:val="22"/>
        </w:rPr>
        <w:t xml:space="preserve"> 202</w:t>
      </w:r>
      <w:r w:rsidR="0034105A">
        <w:rPr>
          <w:sz w:val="22"/>
          <w:szCs w:val="22"/>
        </w:rPr>
        <w:t>5</w:t>
      </w:r>
    </w:p>
    <w:p w14:paraId="57044471" w14:textId="77777777" w:rsidR="00B110FF" w:rsidRDefault="00B110FF">
      <w:pPr>
        <w:rPr>
          <w:sz w:val="22"/>
          <w:szCs w:val="22"/>
        </w:rPr>
      </w:pPr>
    </w:p>
    <w:p w14:paraId="190F5C88" w14:textId="77777777" w:rsidR="00B110FF" w:rsidRDefault="00B110FF">
      <w:pPr>
        <w:rPr>
          <w:sz w:val="22"/>
          <w:szCs w:val="22"/>
        </w:rPr>
      </w:pPr>
    </w:p>
    <w:p w14:paraId="2033ACBA" w14:textId="77777777" w:rsidR="00B110FF" w:rsidRDefault="00B110FF">
      <w:pPr>
        <w:rPr>
          <w:sz w:val="22"/>
          <w:szCs w:val="22"/>
        </w:rPr>
        <w:sectPr w:rsidR="00B110FF" w:rsidSect="008D41BC">
          <w:headerReference w:type="default" r:id="rId9"/>
          <w:footerReference w:type="default" r:id="rId10"/>
          <w:pgSz w:w="16838" w:h="11906" w:orient="landscape"/>
          <w:pgMar w:top="1417" w:right="1417" w:bottom="1417" w:left="1417" w:header="708" w:footer="708" w:gutter="0"/>
          <w:cols w:space="708"/>
          <w:titlePg/>
          <w:docGrid w:linePitch="360"/>
        </w:sectPr>
      </w:pPr>
    </w:p>
    <w:tbl>
      <w:tblPr>
        <w:tblStyle w:val="Grilledutableau"/>
        <w:tblW w:w="0" w:type="auto"/>
        <w:tblLook w:val="04A0" w:firstRow="1" w:lastRow="0" w:firstColumn="1" w:lastColumn="0" w:noHBand="0" w:noVBand="1"/>
      </w:tblPr>
      <w:tblGrid>
        <w:gridCol w:w="595"/>
        <w:gridCol w:w="534"/>
        <w:gridCol w:w="5829"/>
        <w:gridCol w:w="7034"/>
      </w:tblGrid>
      <w:tr w:rsidR="0015068D" w:rsidRPr="00F9101E" w14:paraId="7A3B10FF" w14:textId="77777777" w:rsidTr="00F939F9">
        <w:tc>
          <w:tcPr>
            <w:tcW w:w="13992" w:type="dxa"/>
            <w:gridSpan w:val="4"/>
          </w:tcPr>
          <w:p w14:paraId="3D65E73C" w14:textId="4AA3A0FF" w:rsidR="0015068D" w:rsidRPr="004071FA" w:rsidRDefault="0015068D" w:rsidP="00F939F9">
            <w:pPr>
              <w:rPr>
                <w:b/>
                <w:bCs/>
                <w:sz w:val="22"/>
                <w:szCs w:val="22"/>
              </w:rPr>
            </w:pPr>
            <w:r w:rsidRPr="004071FA">
              <w:rPr>
                <w:b/>
                <w:bCs/>
                <w:sz w:val="22"/>
                <w:szCs w:val="22"/>
              </w:rPr>
              <w:lastRenderedPageBreak/>
              <w:t>Section 1    Dispositions générales</w:t>
            </w:r>
          </w:p>
          <w:p w14:paraId="0964C736" w14:textId="77777777" w:rsidR="0015068D" w:rsidRPr="00F9101E" w:rsidRDefault="0015068D" w:rsidP="00F939F9">
            <w:pPr>
              <w:rPr>
                <w:b/>
                <w:bCs/>
              </w:rPr>
            </w:pPr>
          </w:p>
        </w:tc>
      </w:tr>
      <w:tr w:rsidR="0015068D" w:rsidRPr="00F9101E" w14:paraId="5207E3FD" w14:textId="77777777" w:rsidTr="00F939F9">
        <w:tc>
          <w:tcPr>
            <w:tcW w:w="595" w:type="dxa"/>
          </w:tcPr>
          <w:p w14:paraId="4707F12F" w14:textId="77777777" w:rsidR="0015068D" w:rsidRPr="00F9101E" w:rsidRDefault="0015068D" w:rsidP="00F939F9">
            <w:pPr>
              <w:rPr>
                <w:b/>
                <w:bCs/>
              </w:rPr>
            </w:pPr>
            <w:r w:rsidRPr="00F9101E">
              <w:rPr>
                <w:b/>
                <w:bCs/>
              </w:rPr>
              <w:t>Art.</w:t>
            </w:r>
          </w:p>
        </w:tc>
        <w:tc>
          <w:tcPr>
            <w:tcW w:w="534" w:type="dxa"/>
          </w:tcPr>
          <w:p w14:paraId="16BC7D4E" w14:textId="77777777" w:rsidR="0015068D" w:rsidRPr="00F9101E" w:rsidRDefault="0015068D" w:rsidP="00F939F9">
            <w:pPr>
              <w:rPr>
                <w:b/>
                <w:bCs/>
              </w:rPr>
            </w:pPr>
            <w:r w:rsidRPr="00F9101E">
              <w:rPr>
                <w:b/>
                <w:bCs/>
              </w:rPr>
              <w:t>Al.</w:t>
            </w:r>
          </w:p>
        </w:tc>
        <w:tc>
          <w:tcPr>
            <w:tcW w:w="5829" w:type="dxa"/>
          </w:tcPr>
          <w:p w14:paraId="581FDC05" w14:textId="77777777" w:rsidR="0015068D" w:rsidRPr="00F9101E" w:rsidRDefault="0015068D" w:rsidP="00F939F9">
            <w:pPr>
              <w:rPr>
                <w:b/>
                <w:bCs/>
              </w:rPr>
            </w:pPr>
            <w:r w:rsidRPr="00F9101E">
              <w:rPr>
                <w:b/>
                <w:bCs/>
              </w:rPr>
              <w:t>Commentaires</w:t>
            </w:r>
          </w:p>
        </w:tc>
        <w:tc>
          <w:tcPr>
            <w:tcW w:w="7034" w:type="dxa"/>
          </w:tcPr>
          <w:p w14:paraId="59489EFB" w14:textId="008C5DE2" w:rsidR="0015068D" w:rsidRPr="00F9101E" w:rsidRDefault="003C0B31" w:rsidP="00F939F9">
            <w:pPr>
              <w:rPr>
                <w:b/>
                <w:bCs/>
              </w:rPr>
            </w:pPr>
            <w:r w:rsidRPr="003C0B31">
              <w:rPr>
                <w:b/>
                <w:bCs/>
              </w:rPr>
              <w:t>Modifications apportées à l’article</w:t>
            </w:r>
          </w:p>
        </w:tc>
      </w:tr>
      <w:tr w:rsidR="0015068D" w:rsidRPr="00F9101E" w14:paraId="6AFF3A3E" w14:textId="77777777" w:rsidTr="00F939F9">
        <w:tc>
          <w:tcPr>
            <w:tcW w:w="595" w:type="dxa"/>
          </w:tcPr>
          <w:p w14:paraId="13C254D4" w14:textId="31AD1D3D" w:rsidR="0015068D" w:rsidRPr="00F9101E" w:rsidRDefault="0015068D" w:rsidP="00F939F9"/>
        </w:tc>
        <w:tc>
          <w:tcPr>
            <w:tcW w:w="534" w:type="dxa"/>
          </w:tcPr>
          <w:p w14:paraId="213CFC6B" w14:textId="5759F8DD" w:rsidR="0015068D" w:rsidRPr="00F9101E" w:rsidRDefault="0015068D" w:rsidP="00F939F9"/>
        </w:tc>
        <w:tc>
          <w:tcPr>
            <w:tcW w:w="5829" w:type="dxa"/>
          </w:tcPr>
          <w:p w14:paraId="3BAC5F93" w14:textId="4F256BDC" w:rsidR="0015068D" w:rsidRPr="00F9101E" w:rsidRDefault="00151886" w:rsidP="00F939F9">
            <w:r w:rsidRPr="00F9101E">
              <w:t>Nous suggérons d’ajouter un article intitulé</w:t>
            </w:r>
            <w:r w:rsidR="0015068D" w:rsidRPr="00F9101E">
              <w:t xml:space="preserve"> « Définitions »</w:t>
            </w:r>
            <w:r w:rsidRPr="00F9101E">
              <w:t xml:space="preserve">, à insérer après l’article 2. Cet article aurait pour objectif de préciser des termes généraux utilisés dans l’ordonnance, tels que « point de remise » ou « pharmacie d’hôpital et destinée au personnel de l’hôpital », afin d’assurer une meilleure compréhension.  </w:t>
            </w:r>
          </w:p>
        </w:tc>
        <w:tc>
          <w:tcPr>
            <w:tcW w:w="7034" w:type="dxa"/>
          </w:tcPr>
          <w:p w14:paraId="37EF1B83" w14:textId="77777777" w:rsidR="0015068D" w:rsidRPr="00F9101E" w:rsidRDefault="0015068D" w:rsidP="00F939F9">
            <w:pPr>
              <w:rPr>
                <w:rFonts w:cs="Arial"/>
              </w:rPr>
            </w:pPr>
          </w:p>
        </w:tc>
      </w:tr>
    </w:tbl>
    <w:p w14:paraId="09D250FF" w14:textId="77777777" w:rsidR="00B110FF" w:rsidRDefault="00B110FF">
      <w:pPr>
        <w:rPr>
          <w:sz w:val="22"/>
          <w:szCs w:val="22"/>
        </w:rPr>
      </w:pPr>
    </w:p>
    <w:p w14:paraId="4F1202F2" w14:textId="77777777" w:rsidR="006432F2" w:rsidRDefault="006432F2">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7714C2" w:rsidRPr="00F9101E" w14:paraId="3B57B65F" w14:textId="77777777" w:rsidTr="004F1A76">
        <w:tc>
          <w:tcPr>
            <w:tcW w:w="13992" w:type="dxa"/>
            <w:gridSpan w:val="4"/>
          </w:tcPr>
          <w:p w14:paraId="498907BE" w14:textId="0DDB2333" w:rsidR="007714C2" w:rsidRPr="004071FA" w:rsidRDefault="007714C2" w:rsidP="004F1A76">
            <w:pPr>
              <w:rPr>
                <w:b/>
                <w:bCs/>
                <w:sz w:val="22"/>
                <w:szCs w:val="22"/>
              </w:rPr>
            </w:pPr>
            <w:r w:rsidRPr="004071FA">
              <w:rPr>
                <w:b/>
                <w:bCs/>
                <w:sz w:val="22"/>
                <w:szCs w:val="22"/>
              </w:rPr>
              <w:t xml:space="preserve">Section </w:t>
            </w:r>
            <w:r>
              <w:rPr>
                <w:b/>
                <w:bCs/>
                <w:sz w:val="22"/>
                <w:szCs w:val="22"/>
              </w:rPr>
              <w:t>2     Tâches</w:t>
            </w:r>
          </w:p>
          <w:p w14:paraId="28FADF5D" w14:textId="77777777" w:rsidR="007714C2" w:rsidRPr="00F9101E" w:rsidRDefault="007714C2" w:rsidP="004F1A76">
            <w:pPr>
              <w:rPr>
                <w:b/>
                <w:bCs/>
              </w:rPr>
            </w:pPr>
          </w:p>
        </w:tc>
      </w:tr>
      <w:tr w:rsidR="007714C2" w:rsidRPr="00F9101E" w14:paraId="7E064610" w14:textId="77777777" w:rsidTr="004F1A76">
        <w:tc>
          <w:tcPr>
            <w:tcW w:w="595" w:type="dxa"/>
          </w:tcPr>
          <w:p w14:paraId="2EFC2E35" w14:textId="77777777" w:rsidR="007714C2" w:rsidRPr="00F9101E" w:rsidRDefault="007714C2" w:rsidP="004F1A76">
            <w:pPr>
              <w:rPr>
                <w:b/>
                <w:bCs/>
              </w:rPr>
            </w:pPr>
            <w:r w:rsidRPr="00F9101E">
              <w:rPr>
                <w:b/>
                <w:bCs/>
              </w:rPr>
              <w:t>Art.</w:t>
            </w:r>
          </w:p>
        </w:tc>
        <w:tc>
          <w:tcPr>
            <w:tcW w:w="534" w:type="dxa"/>
          </w:tcPr>
          <w:p w14:paraId="1B857CF9" w14:textId="77777777" w:rsidR="007714C2" w:rsidRPr="00F9101E" w:rsidRDefault="007714C2" w:rsidP="004F1A76">
            <w:pPr>
              <w:rPr>
                <w:b/>
                <w:bCs/>
              </w:rPr>
            </w:pPr>
            <w:r w:rsidRPr="00F9101E">
              <w:rPr>
                <w:b/>
                <w:bCs/>
              </w:rPr>
              <w:t>Al.</w:t>
            </w:r>
          </w:p>
        </w:tc>
        <w:tc>
          <w:tcPr>
            <w:tcW w:w="5829" w:type="dxa"/>
          </w:tcPr>
          <w:p w14:paraId="6B182E80" w14:textId="77777777" w:rsidR="007714C2" w:rsidRPr="00F9101E" w:rsidRDefault="007714C2" w:rsidP="004F1A76">
            <w:pPr>
              <w:rPr>
                <w:b/>
                <w:bCs/>
              </w:rPr>
            </w:pPr>
            <w:r w:rsidRPr="00F9101E">
              <w:rPr>
                <w:b/>
                <w:bCs/>
              </w:rPr>
              <w:t>Commentaires</w:t>
            </w:r>
          </w:p>
        </w:tc>
        <w:tc>
          <w:tcPr>
            <w:tcW w:w="7034" w:type="dxa"/>
          </w:tcPr>
          <w:p w14:paraId="19BCE0BC" w14:textId="3E2FDED5" w:rsidR="007714C2" w:rsidRPr="00353FA9" w:rsidRDefault="007714C2" w:rsidP="004F1A76">
            <w:pPr>
              <w:rPr>
                <w:b/>
                <w:bCs/>
                <w:color w:val="FF0000"/>
              </w:rPr>
            </w:pPr>
            <w:r w:rsidRPr="003C0B31">
              <w:rPr>
                <w:b/>
                <w:bCs/>
              </w:rPr>
              <w:t>Modification</w:t>
            </w:r>
            <w:r w:rsidR="00353FA9" w:rsidRPr="003C0B31">
              <w:rPr>
                <w:b/>
                <w:bCs/>
              </w:rPr>
              <w:t>s apportées à l’article</w:t>
            </w:r>
          </w:p>
        </w:tc>
      </w:tr>
      <w:tr w:rsidR="000902DB" w:rsidRPr="00F9101E" w14:paraId="70725EC0" w14:textId="77777777" w:rsidTr="004F1A76">
        <w:tc>
          <w:tcPr>
            <w:tcW w:w="595" w:type="dxa"/>
          </w:tcPr>
          <w:p w14:paraId="4D3F1D32" w14:textId="60870926" w:rsidR="000902DB" w:rsidRPr="000902DB" w:rsidRDefault="000902DB" w:rsidP="004F1A76">
            <w:r w:rsidRPr="000902DB">
              <w:t>3 et 4</w:t>
            </w:r>
          </w:p>
        </w:tc>
        <w:tc>
          <w:tcPr>
            <w:tcW w:w="534" w:type="dxa"/>
          </w:tcPr>
          <w:p w14:paraId="094FD894" w14:textId="77777777" w:rsidR="000902DB" w:rsidRPr="00F9101E" w:rsidRDefault="000902DB" w:rsidP="004F1A76">
            <w:pPr>
              <w:rPr>
                <w:b/>
                <w:bCs/>
              </w:rPr>
            </w:pPr>
          </w:p>
        </w:tc>
        <w:tc>
          <w:tcPr>
            <w:tcW w:w="5829" w:type="dxa"/>
          </w:tcPr>
          <w:p w14:paraId="26BE91E3" w14:textId="77777777" w:rsidR="000902DB" w:rsidRDefault="000902DB" w:rsidP="004F1A76">
            <w:r>
              <w:t xml:space="preserve">La formulation « service sanitaire </w:t>
            </w:r>
            <w:r w:rsidRPr="000902DB">
              <w:rPr>
                <w:u w:val="single"/>
              </w:rPr>
              <w:t>compétent</w:t>
            </w:r>
            <w:r>
              <w:t xml:space="preserve"> » semble inhabituelle. Serait-ce dû à une mauvaise traduction ? </w:t>
            </w:r>
          </w:p>
          <w:p w14:paraId="5734539F" w14:textId="72CEE214" w:rsidR="00353FA9" w:rsidRPr="000902DB" w:rsidRDefault="00353FA9" w:rsidP="004F1A76"/>
        </w:tc>
        <w:tc>
          <w:tcPr>
            <w:tcW w:w="7034" w:type="dxa"/>
          </w:tcPr>
          <w:p w14:paraId="0D78DAE6" w14:textId="77777777" w:rsidR="000902DB" w:rsidRPr="000902DB" w:rsidRDefault="000902DB" w:rsidP="004F1A76"/>
        </w:tc>
      </w:tr>
      <w:tr w:rsidR="00353FA9" w:rsidRPr="00F9101E" w14:paraId="541A4DEB" w14:textId="77777777" w:rsidTr="004F1A76">
        <w:tc>
          <w:tcPr>
            <w:tcW w:w="595" w:type="dxa"/>
          </w:tcPr>
          <w:p w14:paraId="2ECA2669" w14:textId="102C0EA2" w:rsidR="00353FA9" w:rsidRPr="000902DB" w:rsidRDefault="00353FA9" w:rsidP="004F1A76">
            <w:r>
              <w:t>3</w:t>
            </w:r>
          </w:p>
        </w:tc>
        <w:tc>
          <w:tcPr>
            <w:tcW w:w="534" w:type="dxa"/>
          </w:tcPr>
          <w:p w14:paraId="1C30694E" w14:textId="053A23AA" w:rsidR="00353FA9" w:rsidRPr="00F9101E" w:rsidRDefault="00353FA9" w:rsidP="004F1A76">
            <w:pPr>
              <w:rPr>
                <w:b/>
                <w:bCs/>
              </w:rPr>
            </w:pPr>
            <w:r>
              <w:rPr>
                <w:b/>
                <w:bCs/>
              </w:rPr>
              <w:t>3</w:t>
            </w:r>
          </w:p>
        </w:tc>
        <w:tc>
          <w:tcPr>
            <w:tcW w:w="5829" w:type="dxa"/>
          </w:tcPr>
          <w:p w14:paraId="0844A30A" w14:textId="68B7F677" w:rsidR="00353FA9" w:rsidRDefault="00353FA9" w:rsidP="004F1A76">
            <w:r>
              <w:t>Ajouter la définition du service sanitaire compétent de l’armée</w:t>
            </w:r>
          </w:p>
        </w:tc>
        <w:tc>
          <w:tcPr>
            <w:tcW w:w="7034" w:type="dxa"/>
          </w:tcPr>
          <w:p w14:paraId="4C2F77F8" w14:textId="77777777" w:rsidR="00353FA9" w:rsidRPr="000902DB" w:rsidRDefault="00353FA9" w:rsidP="004F1A76"/>
        </w:tc>
      </w:tr>
      <w:tr w:rsidR="007714C2" w:rsidRPr="00F9101E" w14:paraId="06B4FBDC" w14:textId="77777777" w:rsidTr="004F1A76">
        <w:tc>
          <w:tcPr>
            <w:tcW w:w="595" w:type="dxa"/>
          </w:tcPr>
          <w:p w14:paraId="51BAD5BD" w14:textId="2AE2068A" w:rsidR="007714C2" w:rsidRPr="00F9101E" w:rsidRDefault="007714C2" w:rsidP="004F1A76">
            <w:r>
              <w:t>4</w:t>
            </w:r>
          </w:p>
        </w:tc>
        <w:tc>
          <w:tcPr>
            <w:tcW w:w="534" w:type="dxa"/>
          </w:tcPr>
          <w:p w14:paraId="07A68C4E" w14:textId="048DAEB8" w:rsidR="007714C2" w:rsidRPr="00F9101E" w:rsidRDefault="007714C2" w:rsidP="004F1A76">
            <w:r>
              <w:t>3</w:t>
            </w:r>
          </w:p>
        </w:tc>
        <w:tc>
          <w:tcPr>
            <w:tcW w:w="5829" w:type="dxa"/>
          </w:tcPr>
          <w:p w14:paraId="1B613B3E" w14:textId="3F3ACBAD" w:rsidR="007714C2" w:rsidRPr="00F9101E" w:rsidRDefault="007714C2" w:rsidP="004F1A76">
            <w:r>
              <w:t xml:space="preserve">Préciser que la collaboration ainsi que l’échange d’information entre le service sanitaire compétent de l’armée et le Service sanitaire coordonné (SSC) s’effectue tant au niveau de la préparation (formation, perfectionnement, etc.), qu’à l’engagement. </w:t>
            </w:r>
          </w:p>
        </w:tc>
        <w:tc>
          <w:tcPr>
            <w:tcW w:w="7034" w:type="dxa"/>
          </w:tcPr>
          <w:p w14:paraId="7C2A881F" w14:textId="77777777" w:rsidR="007714C2" w:rsidRPr="00F9101E" w:rsidRDefault="007714C2" w:rsidP="004F1A76">
            <w:pPr>
              <w:rPr>
                <w:rFonts w:cs="Arial"/>
              </w:rPr>
            </w:pPr>
          </w:p>
        </w:tc>
      </w:tr>
      <w:tr w:rsidR="008223E9" w:rsidRPr="00F9101E" w14:paraId="246E87C4" w14:textId="77777777" w:rsidTr="004F1A76">
        <w:tc>
          <w:tcPr>
            <w:tcW w:w="595" w:type="dxa"/>
          </w:tcPr>
          <w:p w14:paraId="7A48EE45" w14:textId="3F5B3CC6" w:rsidR="008223E9" w:rsidRDefault="008223E9" w:rsidP="004F1A76">
            <w:r>
              <w:t>5</w:t>
            </w:r>
          </w:p>
        </w:tc>
        <w:tc>
          <w:tcPr>
            <w:tcW w:w="534" w:type="dxa"/>
          </w:tcPr>
          <w:p w14:paraId="5AE9D61C" w14:textId="77777777" w:rsidR="008223E9" w:rsidRDefault="008223E9" w:rsidP="004F1A76"/>
        </w:tc>
        <w:tc>
          <w:tcPr>
            <w:tcW w:w="5829" w:type="dxa"/>
          </w:tcPr>
          <w:p w14:paraId="4FBA6E0F" w14:textId="36770A1E" w:rsidR="00AB46D6" w:rsidRDefault="00027D09" w:rsidP="004F1A76">
            <w:r>
              <w:t xml:space="preserve">Il est nécessaire de préciser que la pharmacie de l’armée doit obligatoirement être placée sous la supervision d’un pharmacien qualifié. </w:t>
            </w:r>
          </w:p>
          <w:p w14:paraId="2A6C0DED" w14:textId="77777777" w:rsidR="00035F52" w:rsidRDefault="00035F52" w:rsidP="004F1A76"/>
          <w:p w14:paraId="3F752412" w14:textId="4FA6EE13" w:rsidR="00027D09" w:rsidRDefault="00027D09" w:rsidP="00027D09">
            <w:r>
              <w:t>L</w:t>
            </w:r>
            <w:r w:rsidR="00035F52">
              <w:t>a mission de la pharmacie de l’armée</w:t>
            </w:r>
            <w:r>
              <w:t xml:space="preserve"> ne peut pas se limiter uniquement à l’</w:t>
            </w:r>
            <w:r w:rsidR="00035F52">
              <w:t>approvisionnement pharmaceutique du système de santé militaire</w:t>
            </w:r>
            <w:r>
              <w:t>. Elle doit s’étendre à l’exécution de tâches en tant que pharmacie fédérale. Nous propos</w:t>
            </w:r>
            <w:r w:rsidR="00622242">
              <w:t>ons</w:t>
            </w:r>
            <w:r>
              <w:t xml:space="preserve"> l’ajout d’un point d. dans l’ordonnance pour mentionner l’élargissement de ces missions. </w:t>
            </w:r>
          </w:p>
          <w:p w14:paraId="70D5F614" w14:textId="1012039F" w:rsidR="00027D09" w:rsidRDefault="00027D09" w:rsidP="00027D09">
            <w:r>
              <w:t xml:space="preserve">Ce point d. permettrait d’intégrer la formulation suivante issue du rapport explicatif : </w:t>
            </w:r>
            <w:r w:rsidR="008223E9">
              <w:t>« En outre, la pharmacie de l’armée peut être chargée</w:t>
            </w:r>
            <w:r w:rsidR="00FC4F46">
              <w:t>,</w:t>
            </w:r>
            <w:r w:rsidR="008223E9">
              <w:t xml:space="preserve"> à titre subsidiaire</w:t>
            </w:r>
            <w:r w:rsidR="00FC4F46">
              <w:t>,</w:t>
            </w:r>
            <w:r w:rsidR="008223E9">
              <w:t xml:space="preserve"> de fournir des prestations pour le système de santé civil</w:t>
            </w:r>
            <w:r w:rsidR="00610DB7">
              <w:t> »</w:t>
            </w:r>
            <w:r w:rsidR="008223E9">
              <w:t xml:space="preserve">. </w:t>
            </w:r>
          </w:p>
          <w:p w14:paraId="57C7D28D" w14:textId="74E30BD7" w:rsidR="008223E9" w:rsidRDefault="00027D09" w:rsidP="00027D09">
            <w:r>
              <w:lastRenderedPageBreak/>
              <w:t xml:space="preserve">Cette disposition vise à garantir, en cas de besoin, un approvisionnement adéquat en médicaments essentiels et en biocides (notamment les désinfectants) pour le système de santé civil. </w:t>
            </w:r>
          </w:p>
        </w:tc>
        <w:tc>
          <w:tcPr>
            <w:tcW w:w="7034" w:type="dxa"/>
          </w:tcPr>
          <w:p w14:paraId="073860EB" w14:textId="0A186423" w:rsidR="008223E9" w:rsidRDefault="00AB46D6" w:rsidP="004F1A76">
            <w:pPr>
              <w:rPr>
                <w:rFonts w:cs="Arial"/>
              </w:rPr>
            </w:pPr>
            <w:r>
              <w:rPr>
                <w:rFonts w:cs="Arial"/>
              </w:rPr>
              <w:lastRenderedPageBreak/>
              <w:t>La pharmacie de l’armée fournit des prestations pharmaceutiques au système de santé militaire</w:t>
            </w:r>
            <w:r w:rsidR="002B12C6">
              <w:rPr>
                <w:rFonts w:cs="Arial"/>
              </w:rPr>
              <w:t xml:space="preserve"> </w:t>
            </w:r>
            <w:r w:rsidR="002B12C6" w:rsidRPr="00FC4F46">
              <w:rPr>
                <w:rFonts w:cs="Arial"/>
                <w:color w:val="FF0000"/>
              </w:rPr>
              <w:t>et à la population suisse</w:t>
            </w:r>
            <w:r w:rsidR="002B12C6">
              <w:rPr>
                <w:rFonts w:cs="Arial"/>
              </w:rPr>
              <w:t>,</w:t>
            </w:r>
            <w:r>
              <w:rPr>
                <w:rFonts w:cs="Arial"/>
              </w:rPr>
              <w:t xml:space="preserve"> conformément aux directives du médecin en chef de l’armée.</w:t>
            </w:r>
            <w:r w:rsidR="002B12C6">
              <w:rPr>
                <w:rFonts w:cs="Arial"/>
              </w:rPr>
              <w:t xml:space="preserve"> </w:t>
            </w:r>
            <w:r w:rsidR="002B12C6" w:rsidRPr="00FC4F46">
              <w:rPr>
                <w:rFonts w:cs="Arial"/>
                <w:color w:val="FF0000"/>
              </w:rPr>
              <w:t>Placée sous la direction d’un pharmacien, elle dispose d’un personnel qualifié. La responsabilité technique de la pharmacie est assurée par une personne disposant des compétences requises, laquelle doit être titulaire d’un diplôme de pharmacien. Cette personne est habilitée à superviser la fabrication de médicaments prêts à l’emploi et celle de produits intermédiaires</w:t>
            </w:r>
            <w:r w:rsidR="002B12C6">
              <w:rPr>
                <w:rFonts w:cs="Arial"/>
              </w:rPr>
              <w:t>.</w:t>
            </w:r>
            <w:r>
              <w:rPr>
                <w:rFonts w:cs="Arial"/>
              </w:rPr>
              <w:t xml:space="preserve"> Elle assume notamment les tâches suivantes : </w:t>
            </w:r>
          </w:p>
          <w:p w14:paraId="2884F64C" w14:textId="77777777" w:rsidR="00AB46D6" w:rsidRDefault="00AB46D6" w:rsidP="00AB46D6">
            <w:pPr>
              <w:pStyle w:val="Paragraphedeliste"/>
              <w:numPr>
                <w:ilvl w:val="0"/>
                <w:numId w:val="11"/>
              </w:numPr>
              <w:rPr>
                <w:rFonts w:cs="Arial"/>
              </w:rPr>
            </w:pPr>
            <w:r>
              <w:rPr>
                <w:rFonts w:cs="Arial"/>
              </w:rPr>
              <w:t xml:space="preserve">L’approvisionnement en médicaments et en dispositifs médicaux et la fabrication de médicaments nécessaires à l’approvisionnement pharmaceutique au sein du système de santé militaire ; </w:t>
            </w:r>
          </w:p>
          <w:p w14:paraId="003ED8E3" w14:textId="77777777" w:rsidR="00AB46D6" w:rsidRDefault="00AB46D6" w:rsidP="00AB46D6">
            <w:pPr>
              <w:pStyle w:val="Paragraphedeliste"/>
              <w:numPr>
                <w:ilvl w:val="0"/>
                <w:numId w:val="11"/>
              </w:numPr>
              <w:rPr>
                <w:rFonts w:cs="Arial"/>
              </w:rPr>
            </w:pPr>
            <w:r>
              <w:rPr>
                <w:rFonts w:cs="Arial"/>
              </w:rPr>
              <w:lastRenderedPageBreak/>
              <w:t xml:space="preserve">L’Appui du service sanitaire compétent de l’armée pour garantir la disponibilité opérationnelle technique des établissements et des infrastructures du système de santé militaire ; </w:t>
            </w:r>
          </w:p>
          <w:p w14:paraId="544426E9" w14:textId="433551E5" w:rsidR="00FC4F46" w:rsidRPr="00FC4F46" w:rsidRDefault="00AB46D6" w:rsidP="00FC4F46">
            <w:pPr>
              <w:pStyle w:val="Paragraphedeliste"/>
              <w:numPr>
                <w:ilvl w:val="0"/>
                <w:numId w:val="11"/>
              </w:numPr>
              <w:rPr>
                <w:rFonts w:cs="Arial"/>
                <w:color w:val="FF0000"/>
              </w:rPr>
            </w:pPr>
            <w:r>
              <w:rPr>
                <w:rFonts w:cs="Arial"/>
              </w:rPr>
              <w:t>Les conseils techniques dans le cadre de projets interdépartementaux, notamment ceux qui visent à élaborer des scénarios de risques</w:t>
            </w:r>
            <w:r w:rsidR="00027D09">
              <w:rPr>
                <w:rFonts w:cs="Arial"/>
              </w:rPr>
              <w:t>.</w:t>
            </w:r>
          </w:p>
          <w:p w14:paraId="27E55805" w14:textId="5D443410" w:rsidR="00622242" w:rsidRPr="00622242" w:rsidRDefault="00622242" w:rsidP="00622242">
            <w:pPr>
              <w:pStyle w:val="Paragraphedeliste"/>
              <w:numPr>
                <w:ilvl w:val="0"/>
                <w:numId w:val="11"/>
              </w:numPr>
              <w:rPr>
                <w:rFonts w:cs="Arial"/>
              </w:rPr>
            </w:pPr>
            <w:r w:rsidRPr="00FC4F46">
              <w:rPr>
                <w:rFonts w:cs="Arial"/>
                <w:color w:val="FF0000"/>
              </w:rPr>
              <w:t>…</w:t>
            </w:r>
          </w:p>
        </w:tc>
      </w:tr>
    </w:tbl>
    <w:p w14:paraId="3F6CC0C7" w14:textId="77777777" w:rsidR="007714C2" w:rsidRDefault="007714C2">
      <w:pPr>
        <w:rPr>
          <w:sz w:val="22"/>
          <w:szCs w:val="22"/>
        </w:rPr>
      </w:pPr>
    </w:p>
    <w:p w14:paraId="25A1C180" w14:textId="77777777" w:rsidR="007714C2" w:rsidRDefault="007714C2">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6432F2" w:rsidRPr="00F9101E" w14:paraId="18A822C4" w14:textId="77777777" w:rsidTr="00BF1751">
        <w:tc>
          <w:tcPr>
            <w:tcW w:w="13992" w:type="dxa"/>
            <w:gridSpan w:val="4"/>
          </w:tcPr>
          <w:p w14:paraId="3689AA84" w14:textId="5B59C6EB" w:rsidR="006432F2" w:rsidRPr="004071FA" w:rsidRDefault="006432F2" w:rsidP="00BF1751">
            <w:pPr>
              <w:rPr>
                <w:b/>
                <w:bCs/>
                <w:sz w:val="22"/>
                <w:szCs w:val="22"/>
              </w:rPr>
            </w:pPr>
            <w:r w:rsidRPr="004071FA">
              <w:rPr>
                <w:b/>
                <w:bCs/>
                <w:sz w:val="22"/>
                <w:szCs w:val="22"/>
              </w:rPr>
              <w:t>Section 3   Conditions d’exercice du personnel médical et des professionnels de la santé militaire</w:t>
            </w:r>
          </w:p>
          <w:p w14:paraId="5A5F64BA" w14:textId="77777777" w:rsidR="006432F2" w:rsidRPr="00F9101E" w:rsidRDefault="006432F2" w:rsidP="00BF1751">
            <w:pPr>
              <w:rPr>
                <w:b/>
                <w:bCs/>
              </w:rPr>
            </w:pPr>
          </w:p>
        </w:tc>
      </w:tr>
      <w:tr w:rsidR="006432F2" w:rsidRPr="00F9101E" w14:paraId="7AFFF78B" w14:textId="77777777" w:rsidTr="00BF1751">
        <w:tc>
          <w:tcPr>
            <w:tcW w:w="595" w:type="dxa"/>
          </w:tcPr>
          <w:p w14:paraId="054A81F6" w14:textId="77777777" w:rsidR="006432F2" w:rsidRPr="00F9101E" w:rsidRDefault="006432F2" w:rsidP="00BF1751">
            <w:pPr>
              <w:rPr>
                <w:b/>
                <w:bCs/>
              </w:rPr>
            </w:pPr>
            <w:r w:rsidRPr="00F9101E">
              <w:rPr>
                <w:b/>
                <w:bCs/>
              </w:rPr>
              <w:t>Art.</w:t>
            </w:r>
          </w:p>
        </w:tc>
        <w:tc>
          <w:tcPr>
            <w:tcW w:w="534" w:type="dxa"/>
          </w:tcPr>
          <w:p w14:paraId="16687C28" w14:textId="77777777" w:rsidR="006432F2" w:rsidRPr="00F9101E" w:rsidRDefault="006432F2" w:rsidP="00BF1751">
            <w:pPr>
              <w:rPr>
                <w:b/>
                <w:bCs/>
              </w:rPr>
            </w:pPr>
            <w:r w:rsidRPr="00F9101E">
              <w:rPr>
                <w:b/>
                <w:bCs/>
              </w:rPr>
              <w:t>Al.</w:t>
            </w:r>
          </w:p>
        </w:tc>
        <w:tc>
          <w:tcPr>
            <w:tcW w:w="5829" w:type="dxa"/>
          </w:tcPr>
          <w:p w14:paraId="416FD071" w14:textId="77777777" w:rsidR="006432F2" w:rsidRPr="00F9101E" w:rsidRDefault="006432F2" w:rsidP="00BF1751">
            <w:pPr>
              <w:rPr>
                <w:b/>
                <w:bCs/>
              </w:rPr>
            </w:pPr>
            <w:r w:rsidRPr="00F9101E">
              <w:rPr>
                <w:b/>
                <w:bCs/>
              </w:rPr>
              <w:t>Commentaires</w:t>
            </w:r>
          </w:p>
        </w:tc>
        <w:tc>
          <w:tcPr>
            <w:tcW w:w="7034" w:type="dxa"/>
          </w:tcPr>
          <w:p w14:paraId="799C4495" w14:textId="54412AA8" w:rsidR="006432F2" w:rsidRPr="00F9101E" w:rsidRDefault="003C0B31" w:rsidP="00BF1751">
            <w:pPr>
              <w:rPr>
                <w:b/>
                <w:bCs/>
              </w:rPr>
            </w:pPr>
            <w:r w:rsidRPr="003C0B31">
              <w:rPr>
                <w:b/>
                <w:bCs/>
              </w:rPr>
              <w:t>Modifications apportées à l’article</w:t>
            </w:r>
          </w:p>
        </w:tc>
      </w:tr>
      <w:tr w:rsidR="006432F2" w:rsidRPr="00F9101E" w14:paraId="31BAB43A" w14:textId="77777777" w:rsidTr="00BF1751">
        <w:tc>
          <w:tcPr>
            <w:tcW w:w="595" w:type="dxa"/>
          </w:tcPr>
          <w:p w14:paraId="48C89398" w14:textId="7311991F" w:rsidR="006432F2" w:rsidRPr="00F9101E" w:rsidRDefault="00094612" w:rsidP="00BF1751">
            <w:r w:rsidRPr="00F9101E">
              <w:t>7</w:t>
            </w:r>
          </w:p>
        </w:tc>
        <w:tc>
          <w:tcPr>
            <w:tcW w:w="534" w:type="dxa"/>
          </w:tcPr>
          <w:p w14:paraId="51D3110C" w14:textId="052C1EBF" w:rsidR="006432F2" w:rsidRPr="00F9101E" w:rsidRDefault="00094612" w:rsidP="00BF1751">
            <w:r w:rsidRPr="00F9101E">
              <w:t>1</w:t>
            </w:r>
          </w:p>
        </w:tc>
        <w:tc>
          <w:tcPr>
            <w:tcW w:w="5829" w:type="dxa"/>
          </w:tcPr>
          <w:p w14:paraId="2941E99B" w14:textId="22EFBE20" w:rsidR="006432F2" w:rsidRPr="00F9101E" w:rsidRDefault="00094612" w:rsidP="00BF1751">
            <w:r w:rsidRPr="00F9101E">
              <w:t xml:space="preserve">Le terme examen peut prêter à confusion. S’agit-il de l’examen du dossier ou également d’un examen médical du professionnel ? Cet alinéa octroie à tout le moins au service sanitaire de l’armée une compétence d’examen de dossier du personnel médical et des </w:t>
            </w:r>
            <w:r w:rsidR="00B4799C" w:rsidRPr="00F9101E">
              <w:t xml:space="preserve">professionnels </w:t>
            </w:r>
            <w:r w:rsidRPr="00F9101E">
              <w:t>de la santé militaires en vue de la délivrance d’une autorisation à exercer l’activité sous propre responsabilité professionnelle. Lesdites personnes sont par conséquent soumises à un examen d’aptitude à exercer leur profession par un service interne de leur propre employeur. Le système civil s’en distingue, dès lors que les autorités sanitaires cantonales ne sont généralement pas l’employeur des professionnels auxquels elles octroient des autorisations.</w:t>
            </w:r>
          </w:p>
        </w:tc>
        <w:tc>
          <w:tcPr>
            <w:tcW w:w="7034" w:type="dxa"/>
          </w:tcPr>
          <w:p w14:paraId="60AB9687" w14:textId="77777777" w:rsidR="006432F2" w:rsidRPr="00F9101E" w:rsidRDefault="006432F2" w:rsidP="00BF1751">
            <w:pPr>
              <w:rPr>
                <w:rFonts w:cs="Arial"/>
              </w:rPr>
            </w:pPr>
          </w:p>
        </w:tc>
      </w:tr>
      <w:tr w:rsidR="00094612" w:rsidRPr="00F9101E" w14:paraId="70BD50B0" w14:textId="77777777" w:rsidTr="00BF1751">
        <w:tc>
          <w:tcPr>
            <w:tcW w:w="595" w:type="dxa"/>
          </w:tcPr>
          <w:p w14:paraId="37129785" w14:textId="29CD6D85" w:rsidR="00094612" w:rsidRPr="00F9101E" w:rsidRDefault="00094612" w:rsidP="00BF1751">
            <w:r w:rsidRPr="00F9101E">
              <w:t>7</w:t>
            </w:r>
          </w:p>
        </w:tc>
        <w:tc>
          <w:tcPr>
            <w:tcW w:w="534" w:type="dxa"/>
          </w:tcPr>
          <w:p w14:paraId="5F4B9943" w14:textId="48EF4B47" w:rsidR="00094612" w:rsidRPr="00F9101E" w:rsidRDefault="00094612" w:rsidP="00BF1751">
            <w:r w:rsidRPr="00F9101E">
              <w:t>3</w:t>
            </w:r>
          </w:p>
        </w:tc>
        <w:tc>
          <w:tcPr>
            <w:tcW w:w="5829" w:type="dxa"/>
          </w:tcPr>
          <w:p w14:paraId="72439845" w14:textId="079A417B" w:rsidR="00094612" w:rsidRPr="00F9101E" w:rsidRDefault="00094612" w:rsidP="00BF1751">
            <w:r w:rsidRPr="00F9101E">
              <w:t>« </w:t>
            </w:r>
            <w:proofErr w:type="gramStart"/>
            <w:r w:rsidRPr="00F9101E">
              <w:t>se</w:t>
            </w:r>
            <w:proofErr w:type="gramEnd"/>
            <w:r w:rsidRPr="00F9101E">
              <w:t xml:space="preserve"> justifie » est une notion imprécise pouvant conduire à des prises de décisions arbitraires. La qualité des prestations délivrées au sein de l’armée pourrait être impactée, s'il existe des exceptions concernant la qualification du personnel médical et des </w:t>
            </w:r>
            <w:r w:rsidR="00B4799C" w:rsidRPr="00F9101E">
              <w:t>professionnels</w:t>
            </w:r>
            <w:r w:rsidRPr="00F9101E">
              <w:t xml:space="preserve"> de la santé militaires. Le fait de mettre au même niveau les exceptions aux qualifications professionnelles et les exigences linguistiques ne correspond pas au rapport explicatif de la page 11.</w:t>
            </w:r>
          </w:p>
        </w:tc>
        <w:tc>
          <w:tcPr>
            <w:tcW w:w="7034" w:type="dxa"/>
          </w:tcPr>
          <w:p w14:paraId="263595B7" w14:textId="77777777" w:rsidR="00094612" w:rsidRPr="00F9101E" w:rsidRDefault="00094612" w:rsidP="00BF1751">
            <w:pPr>
              <w:rPr>
                <w:rFonts w:cs="Arial"/>
              </w:rPr>
            </w:pPr>
          </w:p>
        </w:tc>
      </w:tr>
      <w:tr w:rsidR="00094612" w:rsidRPr="00F9101E" w14:paraId="70E601CD" w14:textId="77777777" w:rsidTr="00BF1751">
        <w:tc>
          <w:tcPr>
            <w:tcW w:w="595" w:type="dxa"/>
          </w:tcPr>
          <w:p w14:paraId="41A71968" w14:textId="42DFFF6C" w:rsidR="00094612" w:rsidRPr="00F9101E" w:rsidRDefault="00094612" w:rsidP="00BF1751">
            <w:r w:rsidRPr="00F9101E">
              <w:t>7</w:t>
            </w:r>
          </w:p>
        </w:tc>
        <w:tc>
          <w:tcPr>
            <w:tcW w:w="534" w:type="dxa"/>
          </w:tcPr>
          <w:p w14:paraId="4286873E" w14:textId="2656BD02" w:rsidR="00094612" w:rsidRPr="00F9101E" w:rsidRDefault="00094612" w:rsidP="00BF1751">
            <w:r w:rsidRPr="00F9101E">
              <w:t>4</w:t>
            </w:r>
          </w:p>
        </w:tc>
        <w:tc>
          <w:tcPr>
            <w:tcW w:w="5829" w:type="dxa"/>
          </w:tcPr>
          <w:p w14:paraId="3DFF34E8" w14:textId="00727A2C" w:rsidR="00094612" w:rsidRPr="00F9101E" w:rsidRDefault="00094612" w:rsidP="00BF1751">
            <w:r w:rsidRPr="00F9101E">
              <w:t>« </w:t>
            </w:r>
            <w:proofErr w:type="gramStart"/>
            <w:r w:rsidRPr="00F9101E">
              <w:t>soins</w:t>
            </w:r>
            <w:proofErr w:type="gramEnd"/>
            <w:r w:rsidRPr="00F9101E">
              <w:t xml:space="preserve"> médicaux fiables » est une notion insuffisante et inadéquate. </w:t>
            </w:r>
          </w:p>
        </w:tc>
        <w:tc>
          <w:tcPr>
            <w:tcW w:w="7034" w:type="dxa"/>
          </w:tcPr>
          <w:p w14:paraId="029D8AE4" w14:textId="1B4D76B0" w:rsidR="00094612" w:rsidRPr="00F9101E" w:rsidRDefault="00094612" w:rsidP="00BF1751">
            <w:pPr>
              <w:rPr>
                <w:rFonts w:cs="Arial"/>
              </w:rPr>
            </w:pPr>
            <w:r w:rsidRPr="00F9101E">
              <w:rPr>
                <w:rFonts w:cs="Arial"/>
              </w:rPr>
              <w:t xml:space="preserve">L’autorisation peut être soumise à des restrictions professionnelles, temporelles ou géographiques ainsi qu’à des charges, pour autant que ces restrictions et ces charges soient nécessaires pour garantir des soins médicaux </w:t>
            </w:r>
            <w:r w:rsidR="00FC4F46" w:rsidRPr="00FC4F46">
              <w:rPr>
                <w:rFonts w:cs="Arial"/>
                <w:strike/>
              </w:rPr>
              <w:t>fiables</w:t>
            </w:r>
            <w:r w:rsidR="00FC4F46">
              <w:rPr>
                <w:rFonts w:cs="Arial"/>
              </w:rPr>
              <w:t xml:space="preserve"> </w:t>
            </w:r>
            <w:r w:rsidRPr="00FC4F46">
              <w:rPr>
                <w:rFonts w:cs="Arial"/>
                <w:color w:val="FF0000"/>
              </w:rPr>
              <w:t>adéquats</w:t>
            </w:r>
            <w:r w:rsidR="00FC4F46">
              <w:rPr>
                <w:rFonts w:cs="Arial"/>
              </w:rPr>
              <w:t xml:space="preserve"> </w:t>
            </w:r>
            <w:r w:rsidRPr="00F9101E">
              <w:rPr>
                <w:rFonts w:cs="Arial"/>
              </w:rPr>
              <w:t xml:space="preserve">et de qualité. </w:t>
            </w:r>
          </w:p>
        </w:tc>
      </w:tr>
      <w:tr w:rsidR="006B134A" w:rsidRPr="00F9101E" w14:paraId="3E479E2D" w14:textId="77777777" w:rsidTr="00BF1751">
        <w:tc>
          <w:tcPr>
            <w:tcW w:w="595" w:type="dxa"/>
          </w:tcPr>
          <w:p w14:paraId="6066A4A6" w14:textId="5C8BF9EA" w:rsidR="006B134A" w:rsidRPr="00F9101E" w:rsidRDefault="006B134A" w:rsidP="00BF1751">
            <w:r w:rsidRPr="00F9101E">
              <w:lastRenderedPageBreak/>
              <w:t>8</w:t>
            </w:r>
          </w:p>
        </w:tc>
        <w:tc>
          <w:tcPr>
            <w:tcW w:w="534" w:type="dxa"/>
          </w:tcPr>
          <w:p w14:paraId="5CC74F91" w14:textId="77777777" w:rsidR="006B134A" w:rsidRPr="00F9101E" w:rsidRDefault="006B134A" w:rsidP="00BF1751"/>
        </w:tc>
        <w:tc>
          <w:tcPr>
            <w:tcW w:w="5829" w:type="dxa"/>
          </w:tcPr>
          <w:p w14:paraId="654450A7" w14:textId="0DEFEEA9" w:rsidR="006B134A" w:rsidRPr="00F9101E" w:rsidRDefault="00B4799C" w:rsidP="00B4799C">
            <w:r w:rsidRPr="00F9101E">
              <w:t>La dénomination française « activité sous responsabilité professionnelle » prête à confusion</w:t>
            </w:r>
            <w:r w:rsidR="00F01089">
              <w:t xml:space="preserve"> en regard de la terminologie « sous propre responsabilité professionnelle » (art. 7 et autres). Il convient de la remplacer par « sous surveillance ».</w:t>
            </w:r>
          </w:p>
        </w:tc>
        <w:tc>
          <w:tcPr>
            <w:tcW w:w="7034" w:type="dxa"/>
          </w:tcPr>
          <w:p w14:paraId="08D714DA" w14:textId="5E02AE9B" w:rsidR="006B134A" w:rsidRPr="00F9101E" w:rsidRDefault="005B27DC" w:rsidP="00BF1751">
            <w:pPr>
              <w:rPr>
                <w:rFonts w:cs="Arial"/>
                <w:b/>
                <w:bCs/>
              </w:rPr>
            </w:pPr>
            <w:r w:rsidRPr="00F9101E">
              <w:rPr>
                <w:rFonts w:cs="Arial"/>
                <w:b/>
                <w:bCs/>
              </w:rPr>
              <w:t>Autorisation d’exercer une activité</w:t>
            </w:r>
            <w:r w:rsidR="00B81A7E">
              <w:rPr>
                <w:rFonts w:cs="Arial"/>
                <w:b/>
                <w:bCs/>
              </w:rPr>
              <w:t xml:space="preserve"> </w:t>
            </w:r>
            <w:r w:rsidR="00B81A7E" w:rsidRPr="00B81A7E">
              <w:rPr>
                <w:rFonts w:cs="Arial"/>
                <w:b/>
                <w:bCs/>
                <w:strike/>
              </w:rPr>
              <w:t>sous responsabilité professionnelle</w:t>
            </w:r>
            <w:r w:rsidRPr="00F9101E">
              <w:rPr>
                <w:rFonts w:cs="Arial"/>
                <w:b/>
                <w:bCs/>
              </w:rPr>
              <w:t xml:space="preserve"> </w:t>
            </w:r>
            <w:r w:rsidRPr="00B81A7E">
              <w:rPr>
                <w:rFonts w:cs="Arial"/>
                <w:b/>
                <w:bCs/>
                <w:color w:val="FF0000"/>
              </w:rPr>
              <w:t>sous surveillance</w:t>
            </w:r>
          </w:p>
        </w:tc>
      </w:tr>
      <w:tr w:rsidR="005B27DC" w:rsidRPr="00F9101E" w14:paraId="0B4A16A2" w14:textId="77777777" w:rsidTr="00BF1751">
        <w:tc>
          <w:tcPr>
            <w:tcW w:w="595" w:type="dxa"/>
          </w:tcPr>
          <w:p w14:paraId="359A8899" w14:textId="3338BF65" w:rsidR="005B27DC" w:rsidRPr="00F9101E" w:rsidRDefault="005B27DC" w:rsidP="00BF1751">
            <w:r w:rsidRPr="00F9101E">
              <w:t>8</w:t>
            </w:r>
          </w:p>
        </w:tc>
        <w:tc>
          <w:tcPr>
            <w:tcW w:w="534" w:type="dxa"/>
          </w:tcPr>
          <w:p w14:paraId="04772E9A" w14:textId="23136035" w:rsidR="005B27DC" w:rsidRPr="00F9101E" w:rsidRDefault="005B27DC" w:rsidP="00BF1751">
            <w:r w:rsidRPr="00F9101E">
              <w:t>2</w:t>
            </w:r>
          </w:p>
        </w:tc>
        <w:tc>
          <w:tcPr>
            <w:tcW w:w="5829" w:type="dxa"/>
          </w:tcPr>
          <w:p w14:paraId="7AD599D6" w14:textId="02C4E89C" w:rsidR="005B27DC" w:rsidRDefault="00F9101E" w:rsidP="00B4799C">
            <w:r w:rsidRPr="00F9101E">
              <w:t>Il convient de préciser si un diplôme suisse ou reconnu suffit et si un professionnel au bénéfice d’un titre postgrade peut tout de même exercer sous surveillance (formulation « n’est pas obligatoire »). Par ailleurs, cette disposition expose le personnel médical diplômé sans titre postgrade au risque de ne jamais se spécialiser. Les cantons ont de l'expérience avec de tels cas, qui se révèlent lorsque l'employé veut changer d'emploi ou souhaite exercer sous propre responsabilité. Alors que dans la société civile le travail sous supervision à long terme n’est généralement pas admis, la possibilité offerte aux professionnels médicaux militaires de travailler sous supervision à long terme les empêcherait d’aller exercer sur le marché du travail civil, les rendant</w:t>
            </w:r>
            <w:proofErr w:type="gramStart"/>
            <w:r w:rsidRPr="00F9101E">
              <w:t xml:space="preserve"> «captifs</w:t>
            </w:r>
            <w:proofErr w:type="gramEnd"/>
            <w:r w:rsidRPr="00F9101E">
              <w:t>» de leur emploi au sein de l’armée. Il serait souhaitable de prévoir que cette disposition ne s’applique que le temps de la formation des professionnels concernés.</w:t>
            </w:r>
          </w:p>
          <w:p w14:paraId="64274DFD" w14:textId="77777777" w:rsidR="009D42F9" w:rsidRDefault="009D42F9" w:rsidP="00B4799C"/>
          <w:p w14:paraId="6B437554" w14:textId="24C70D30" w:rsidR="009D42F9" w:rsidRPr="00F9101E" w:rsidRDefault="009D42F9" w:rsidP="00B4799C">
            <w:r>
              <w:t>Les vétérinaires ne sont pas spécifiquement mentionnés dans cet article. Il serait pertinent de préciser les conditions applicables à cette profession.</w:t>
            </w:r>
          </w:p>
        </w:tc>
        <w:tc>
          <w:tcPr>
            <w:tcW w:w="7034" w:type="dxa"/>
          </w:tcPr>
          <w:p w14:paraId="15F8F7E0" w14:textId="77777777" w:rsidR="005B27DC" w:rsidRPr="00F9101E" w:rsidRDefault="005B27DC" w:rsidP="00BF1751">
            <w:pPr>
              <w:rPr>
                <w:rFonts w:cs="Arial"/>
              </w:rPr>
            </w:pPr>
          </w:p>
        </w:tc>
      </w:tr>
      <w:tr w:rsidR="005B27DC" w:rsidRPr="00F9101E" w14:paraId="220A82A6" w14:textId="77777777" w:rsidTr="00BF1751">
        <w:tc>
          <w:tcPr>
            <w:tcW w:w="595" w:type="dxa"/>
          </w:tcPr>
          <w:p w14:paraId="625D5D62" w14:textId="395E94EA" w:rsidR="005B27DC" w:rsidRPr="00F9101E" w:rsidRDefault="005B27DC" w:rsidP="00BF1751">
            <w:r w:rsidRPr="00F9101E">
              <w:t>8</w:t>
            </w:r>
          </w:p>
        </w:tc>
        <w:tc>
          <w:tcPr>
            <w:tcW w:w="534" w:type="dxa"/>
          </w:tcPr>
          <w:p w14:paraId="32D4537E" w14:textId="7C83AFAB" w:rsidR="005B27DC" w:rsidRPr="00F9101E" w:rsidRDefault="005B27DC" w:rsidP="00BF1751">
            <w:r w:rsidRPr="00F9101E">
              <w:t>3</w:t>
            </w:r>
          </w:p>
        </w:tc>
        <w:tc>
          <w:tcPr>
            <w:tcW w:w="5829" w:type="dxa"/>
          </w:tcPr>
          <w:p w14:paraId="1693C8EA" w14:textId="0B670B76" w:rsidR="005B27DC" w:rsidRPr="00F9101E" w:rsidRDefault="00F01089" w:rsidP="00B4799C">
            <w:r>
              <w:t xml:space="preserve">Remplacement de la terminologie « sous responsabilité professionnelle ». </w:t>
            </w:r>
          </w:p>
        </w:tc>
        <w:tc>
          <w:tcPr>
            <w:tcW w:w="7034" w:type="dxa"/>
          </w:tcPr>
          <w:p w14:paraId="3E8F7F11" w14:textId="24A0D927" w:rsidR="005B27DC" w:rsidRPr="00F9101E" w:rsidRDefault="005B27DC" w:rsidP="00BF1751">
            <w:pPr>
              <w:rPr>
                <w:rFonts w:cs="Arial"/>
              </w:rPr>
            </w:pPr>
            <w:r w:rsidRPr="00F9101E">
              <w:rPr>
                <w:rFonts w:cs="Arial"/>
              </w:rPr>
              <w:t xml:space="preserve">Le personnel médical et les </w:t>
            </w:r>
            <w:r w:rsidR="00E54F16" w:rsidRPr="00F9101E">
              <w:t>professionnels</w:t>
            </w:r>
            <w:r w:rsidRPr="00F9101E">
              <w:rPr>
                <w:rFonts w:cs="Arial"/>
              </w:rPr>
              <w:t xml:space="preserve"> de la santé militaires</w:t>
            </w:r>
            <w:r w:rsidR="004A1B42">
              <w:rPr>
                <w:rFonts w:cs="Arial"/>
              </w:rPr>
              <w:t xml:space="preserve"> </w:t>
            </w:r>
            <w:r w:rsidR="004A1B42" w:rsidRPr="004A1B42">
              <w:rPr>
                <w:rFonts w:cs="Arial"/>
                <w:strike/>
              </w:rPr>
              <w:t>travaillant sous responsabilité professionnelle</w:t>
            </w:r>
            <w:r w:rsidRPr="00F9101E">
              <w:rPr>
                <w:rFonts w:cs="Arial"/>
              </w:rPr>
              <w:t xml:space="preserve"> </w:t>
            </w:r>
            <w:r w:rsidR="00F9101E" w:rsidRPr="004A1B42">
              <w:rPr>
                <w:rFonts w:cs="Arial"/>
                <w:color w:val="FF0000"/>
              </w:rPr>
              <w:t xml:space="preserve">exerçant sous responsabilité et surveillance professionnelle </w:t>
            </w:r>
            <w:r w:rsidR="00E54F16" w:rsidRPr="00F9101E">
              <w:rPr>
                <w:rFonts w:cs="Arial"/>
              </w:rPr>
              <w:t>peuvent se voir confier uniquement des tâches que les personnes travaillant sous leur propre responsabilité professionnelle sont habilitées à surveiller.</w:t>
            </w:r>
          </w:p>
        </w:tc>
      </w:tr>
      <w:tr w:rsidR="00F9101E" w:rsidRPr="00F9101E" w14:paraId="2A4FF56F" w14:textId="77777777" w:rsidTr="00BF1751">
        <w:tc>
          <w:tcPr>
            <w:tcW w:w="595" w:type="dxa"/>
          </w:tcPr>
          <w:p w14:paraId="3BA6FB8C" w14:textId="58877046" w:rsidR="00F9101E" w:rsidRPr="00F9101E" w:rsidRDefault="00F9101E" w:rsidP="00BF1751">
            <w:r w:rsidRPr="00F9101E">
              <w:t>9</w:t>
            </w:r>
          </w:p>
        </w:tc>
        <w:tc>
          <w:tcPr>
            <w:tcW w:w="534" w:type="dxa"/>
          </w:tcPr>
          <w:p w14:paraId="100CF1B8" w14:textId="5EEB1C2C" w:rsidR="00F9101E" w:rsidRPr="00F9101E" w:rsidRDefault="00F9101E" w:rsidP="00BF1751">
            <w:r w:rsidRPr="00F9101E">
              <w:t>3</w:t>
            </w:r>
          </w:p>
        </w:tc>
        <w:tc>
          <w:tcPr>
            <w:tcW w:w="5829" w:type="dxa"/>
          </w:tcPr>
          <w:p w14:paraId="5BA1DABC" w14:textId="58496BCE" w:rsidR="00F9101E" w:rsidRPr="004071FA" w:rsidRDefault="00F9101E" w:rsidP="004071FA">
            <w:pPr>
              <w:jc w:val="both"/>
              <w:rPr>
                <w:rFonts w:cstheme="minorHAnsi"/>
              </w:rPr>
            </w:pPr>
            <w:r w:rsidRPr="00F9101E">
              <w:rPr>
                <w:rFonts w:cstheme="minorHAnsi"/>
              </w:rPr>
              <w:t xml:space="preserve">Pour protéger la santé publique, il est indispensable d'informer les autorités sanitaires civiles (cantonales) en cas de restriction ou d'interdiction concernant une personne exerçant une profession médicale ou de la santé au sein du système de santé militaire. Si le système d’annonce prévu par cet alinéa est pertinent, il serait également utile que les autorités sanitaires cantonales puissent être informées des éventuelles restrictions ou interdictions de pratiquer préalables, lorsque l’exercice civil </w:t>
            </w:r>
            <w:r w:rsidRPr="00F9101E">
              <w:rPr>
                <w:rFonts w:cstheme="minorHAnsi"/>
              </w:rPr>
              <w:lastRenderedPageBreak/>
              <w:t xml:space="preserve">et militaire n’est pas simultané, soit lorsque la personne dépose une demande d’autorisation de pratiquer auprès d’un canton, après avoir exercé et fait l’objet de restrictions ou interdictions au sein du système de santé militaire. Il serait souhaitable que le service sanitaire de l’armée puisse émettre un document, tel qu’un certificat de bonne conduite ou qu’il utilise un système alternatif permettant de garantir un échange d’informations efficaces. Le registre des professions médicales </w:t>
            </w:r>
            <w:proofErr w:type="spellStart"/>
            <w:r w:rsidRPr="00F9101E">
              <w:rPr>
                <w:rFonts w:cstheme="minorHAnsi"/>
              </w:rPr>
              <w:t>MedReg</w:t>
            </w:r>
            <w:proofErr w:type="spellEnd"/>
            <w:r w:rsidRPr="00F9101E">
              <w:rPr>
                <w:rFonts w:cstheme="minorHAnsi"/>
              </w:rPr>
              <w:t xml:space="preserve"> permet de tels échanges d’informations entre autorités sanitaires cantonales. Les informations sensibles du registre ne sont pas publiques, mais réservées à l’usage des autorités qui en ont besoin pour accomplir leur tâche légale. Si l’utilisation d’un tel registre n’est pas compatible avec les intérêts de l’armée, il convient néanmoins de prévoir l’échange de données par un moyen alternatif permettant aux autorités sanitaires cantonales de vérifier que les personnes souhaitant exercer au sein du système de santé civil sont dignes de confiance, afin de préserver la sécurité des patients et la santé publique de manière générale. </w:t>
            </w:r>
          </w:p>
        </w:tc>
        <w:tc>
          <w:tcPr>
            <w:tcW w:w="7034" w:type="dxa"/>
          </w:tcPr>
          <w:p w14:paraId="6B5155A8" w14:textId="77777777" w:rsidR="00F9101E" w:rsidRPr="00F9101E" w:rsidRDefault="00F9101E" w:rsidP="00BF1751">
            <w:pPr>
              <w:rPr>
                <w:rFonts w:cs="Arial"/>
              </w:rPr>
            </w:pPr>
          </w:p>
        </w:tc>
      </w:tr>
    </w:tbl>
    <w:p w14:paraId="23C8E7AA" w14:textId="77777777" w:rsidR="004071FA" w:rsidRDefault="004071FA">
      <w:pPr>
        <w:rPr>
          <w:sz w:val="22"/>
          <w:szCs w:val="22"/>
        </w:rPr>
      </w:pPr>
    </w:p>
    <w:p w14:paraId="0C619EE3" w14:textId="77777777" w:rsidR="00A25C4F" w:rsidRDefault="00A25C4F">
      <w:pPr>
        <w:rPr>
          <w:sz w:val="22"/>
          <w:szCs w:val="22"/>
        </w:rPr>
      </w:pPr>
    </w:p>
    <w:p w14:paraId="153FC801" w14:textId="77777777" w:rsidR="00A25C4F" w:rsidRDefault="00A25C4F">
      <w:pPr>
        <w:rPr>
          <w:sz w:val="22"/>
          <w:szCs w:val="22"/>
        </w:rPr>
      </w:pPr>
    </w:p>
    <w:p w14:paraId="5553E092" w14:textId="77777777" w:rsidR="00A25C4F" w:rsidRDefault="00A25C4F">
      <w:pPr>
        <w:rPr>
          <w:sz w:val="22"/>
          <w:szCs w:val="22"/>
        </w:rPr>
      </w:pPr>
    </w:p>
    <w:p w14:paraId="28ABC689" w14:textId="77777777" w:rsidR="00A25C4F" w:rsidRDefault="00A25C4F">
      <w:pPr>
        <w:rPr>
          <w:sz w:val="22"/>
          <w:szCs w:val="22"/>
        </w:rPr>
      </w:pPr>
    </w:p>
    <w:p w14:paraId="6044988E" w14:textId="77777777" w:rsidR="00A25C4F" w:rsidRDefault="00A25C4F">
      <w:pPr>
        <w:rPr>
          <w:sz w:val="22"/>
          <w:szCs w:val="22"/>
        </w:rPr>
      </w:pPr>
    </w:p>
    <w:p w14:paraId="2C84995A" w14:textId="77777777" w:rsidR="00A25C4F" w:rsidRDefault="00A25C4F">
      <w:pPr>
        <w:rPr>
          <w:sz w:val="22"/>
          <w:szCs w:val="22"/>
        </w:rPr>
      </w:pPr>
    </w:p>
    <w:p w14:paraId="5C70B979" w14:textId="77777777" w:rsidR="00A25C4F" w:rsidRDefault="00A25C4F">
      <w:pPr>
        <w:rPr>
          <w:sz w:val="22"/>
          <w:szCs w:val="22"/>
        </w:rPr>
      </w:pPr>
    </w:p>
    <w:p w14:paraId="67AA1B65" w14:textId="77777777" w:rsidR="00A25C4F" w:rsidRDefault="00A25C4F">
      <w:pPr>
        <w:rPr>
          <w:sz w:val="22"/>
          <w:szCs w:val="22"/>
        </w:rPr>
      </w:pPr>
    </w:p>
    <w:p w14:paraId="3C17E7BC" w14:textId="77777777" w:rsidR="00A25C4F" w:rsidRDefault="00A25C4F">
      <w:pPr>
        <w:rPr>
          <w:sz w:val="22"/>
          <w:szCs w:val="22"/>
        </w:rPr>
      </w:pPr>
    </w:p>
    <w:p w14:paraId="39B1857A" w14:textId="77777777" w:rsidR="00A25C4F" w:rsidRDefault="00A25C4F">
      <w:pPr>
        <w:rPr>
          <w:sz w:val="22"/>
          <w:szCs w:val="22"/>
        </w:rPr>
      </w:pPr>
    </w:p>
    <w:p w14:paraId="2CAA2A6D" w14:textId="77777777" w:rsidR="00A25C4F" w:rsidRDefault="00A25C4F">
      <w:pPr>
        <w:rPr>
          <w:sz w:val="22"/>
          <w:szCs w:val="22"/>
        </w:rPr>
      </w:pPr>
    </w:p>
    <w:p w14:paraId="52D2E169" w14:textId="77777777" w:rsidR="00A25C4F" w:rsidRDefault="00A25C4F">
      <w:pPr>
        <w:rPr>
          <w:sz w:val="22"/>
          <w:szCs w:val="22"/>
        </w:rPr>
      </w:pPr>
    </w:p>
    <w:p w14:paraId="49A75C1D" w14:textId="77777777" w:rsidR="00A25C4F" w:rsidRDefault="00A25C4F">
      <w:pPr>
        <w:rPr>
          <w:sz w:val="22"/>
          <w:szCs w:val="22"/>
        </w:rPr>
      </w:pPr>
    </w:p>
    <w:p w14:paraId="077AFF22" w14:textId="77777777" w:rsidR="00A25C4F" w:rsidRDefault="00A25C4F">
      <w:pPr>
        <w:rPr>
          <w:sz w:val="22"/>
          <w:szCs w:val="22"/>
        </w:rPr>
      </w:pPr>
    </w:p>
    <w:p w14:paraId="04D6BE77" w14:textId="77777777" w:rsidR="00A25C4F" w:rsidRDefault="00A25C4F">
      <w:pPr>
        <w:rPr>
          <w:sz w:val="22"/>
          <w:szCs w:val="22"/>
        </w:rPr>
      </w:pPr>
    </w:p>
    <w:p w14:paraId="174D7C0C" w14:textId="77777777" w:rsidR="00A25C4F" w:rsidRDefault="00A25C4F">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4071FA" w:rsidRPr="00F9101E" w14:paraId="75E71C37" w14:textId="77777777" w:rsidTr="00BF1751">
        <w:tc>
          <w:tcPr>
            <w:tcW w:w="13992" w:type="dxa"/>
            <w:gridSpan w:val="4"/>
          </w:tcPr>
          <w:p w14:paraId="6D63F8EB" w14:textId="77777777" w:rsidR="004071FA" w:rsidRDefault="004071FA" w:rsidP="00BF1751">
            <w:pPr>
              <w:rPr>
                <w:b/>
                <w:bCs/>
                <w:sz w:val="22"/>
                <w:szCs w:val="22"/>
              </w:rPr>
            </w:pPr>
            <w:r w:rsidRPr="004071FA">
              <w:rPr>
                <w:b/>
                <w:bCs/>
                <w:sz w:val="22"/>
                <w:szCs w:val="22"/>
              </w:rPr>
              <w:lastRenderedPageBreak/>
              <w:t xml:space="preserve">Section </w:t>
            </w:r>
            <w:r>
              <w:rPr>
                <w:b/>
                <w:bCs/>
                <w:sz w:val="22"/>
                <w:szCs w:val="22"/>
              </w:rPr>
              <w:t xml:space="preserve">4     Conditions relatives aux qualifications professionnelles s’appliquant aux autres personnes exerçant leur activité dans </w:t>
            </w:r>
          </w:p>
          <w:p w14:paraId="1CBEABA6" w14:textId="76E1F6B5" w:rsidR="004071FA" w:rsidRPr="004071FA" w:rsidRDefault="004071FA" w:rsidP="00BF1751">
            <w:pPr>
              <w:rPr>
                <w:b/>
                <w:bCs/>
                <w:sz w:val="22"/>
                <w:szCs w:val="22"/>
              </w:rPr>
            </w:pPr>
            <w:r>
              <w:rPr>
                <w:b/>
                <w:bCs/>
                <w:sz w:val="22"/>
                <w:szCs w:val="22"/>
              </w:rPr>
              <w:t xml:space="preserve">                     </w:t>
            </w:r>
            <w:proofErr w:type="gramStart"/>
            <w:r>
              <w:rPr>
                <w:b/>
                <w:bCs/>
                <w:sz w:val="22"/>
                <w:szCs w:val="22"/>
              </w:rPr>
              <w:t>dans</w:t>
            </w:r>
            <w:proofErr w:type="gramEnd"/>
            <w:r>
              <w:rPr>
                <w:b/>
                <w:bCs/>
                <w:sz w:val="22"/>
                <w:szCs w:val="22"/>
              </w:rPr>
              <w:t xml:space="preserve"> le système de santé militaire</w:t>
            </w:r>
          </w:p>
          <w:p w14:paraId="59CBAE35" w14:textId="77777777" w:rsidR="004071FA" w:rsidRPr="00F9101E" w:rsidRDefault="004071FA" w:rsidP="00BF1751">
            <w:pPr>
              <w:rPr>
                <w:b/>
                <w:bCs/>
              </w:rPr>
            </w:pPr>
          </w:p>
        </w:tc>
      </w:tr>
      <w:tr w:rsidR="004071FA" w:rsidRPr="00F9101E" w14:paraId="5FF0345A" w14:textId="77777777" w:rsidTr="00BF1751">
        <w:tc>
          <w:tcPr>
            <w:tcW w:w="595" w:type="dxa"/>
          </w:tcPr>
          <w:p w14:paraId="3E325893" w14:textId="77777777" w:rsidR="004071FA" w:rsidRPr="00F9101E" w:rsidRDefault="004071FA" w:rsidP="00BF1751">
            <w:pPr>
              <w:rPr>
                <w:b/>
                <w:bCs/>
              </w:rPr>
            </w:pPr>
            <w:r w:rsidRPr="00F9101E">
              <w:rPr>
                <w:b/>
                <w:bCs/>
              </w:rPr>
              <w:t>Art.</w:t>
            </w:r>
          </w:p>
        </w:tc>
        <w:tc>
          <w:tcPr>
            <w:tcW w:w="534" w:type="dxa"/>
          </w:tcPr>
          <w:p w14:paraId="2C7CDD24" w14:textId="77777777" w:rsidR="004071FA" w:rsidRPr="00F9101E" w:rsidRDefault="004071FA" w:rsidP="00BF1751">
            <w:pPr>
              <w:rPr>
                <w:b/>
                <w:bCs/>
              </w:rPr>
            </w:pPr>
            <w:r w:rsidRPr="00F9101E">
              <w:rPr>
                <w:b/>
                <w:bCs/>
              </w:rPr>
              <w:t>Al.</w:t>
            </w:r>
          </w:p>
        </w:tc>
        <w:tc>
          <w:tcPr>
            <w:tcW w:w="5829" w:type="dxa"/>
          </w:tcPr>
          <w:p w14:paraId="4D3C6A78" w14:textId="77777777" w:rsidR="004071FA" w:rsidRPr="00F9101E" w:rsidRDefault="004071FA" w:rsidP="00BF1751">
            <w:pPr>
              <w:rPr>
                <w:b/>
                <w:bCs/>
              </w:rPr>
            </w:pPr>
            <w:r w:rsidRPr="00F9101E">
              <w:rPr>
                <w:b/>
                <w:bCs/>
              </w:rPr>
              <w:t>Commentaires</w:t>
            </w:r>
          </w:p>
        </w:tc>
        <w:tc>
          <w:tcPr>
            <w:tcW w:w="7034" w:type="dxa"/>
          </w:tcPr>
          <w:p w14:paraId="21CD66DF" w14:textId="3768C510" w:rsidR="004071FA" w:rsidRPr="00F9101E" w:rsidRDefault="003C0B31" w:rsidP="00BF1751">
            <w:pPr>
              <w:rPr>
                <w:b/>
                <w:bCs/>
              </w:rPr>
            </w:pPr>
            <w:r w:rsidRPr="003C0B31">
              <w:rPr>
                <w:b/>
                <w:bCs/>
              </w:rPr>
              <w:t>Modifications apportées à l’article</w:t>
            </w:r>
          </w:p>
        </w:tc>
      </w:tr>
      <w:tr w:rsidR="004071FA" w:rsidRPr="00F9101E" w14:paraId="3B4861E7" w14:textId="77777777" w:rsidTr="00BF1751">
        <w:tc>
          <w:tcPr>
            <w:tcW w:w="595" w:type="dxa"/>
          </w:tcPr>
          <w:p w14:paraId="1D155B81" w14:textId="1E564C10" w:rsidR="004071FA" w:rsidRPr="00F9101E" w:rsidRDefault="004071FA" w:rsidP="00BF1751">
            <w:r>
              <w:t>10</w:t>
            </w:r>
          </w:p>
        </w:tc>
        <w:tc>
          <w:tcPr>
            <w:tcW w:w="534" w:type="dxa"/>
          </w:tcPr>
          <w:p w14:paraId="57643289" w14:textId="6FB0BF40" w:rsidR="004071FA" w:rsidRPr="00F9101E" w:rsidRDefault="004071FA" w:rsidP="00BF1751">
            <w:r>
              <w:t>1</w:t>
            </w:r>
          </w:p>
        </w:tc>
        <w:tc>
          <w:tcPr>
            <w:tcW w:w="5829" w:type="dxa"/>
          </w:tcPr>
          <w:p w14:paraId="39F3A755" w14:textId="59A4DD96" w:rsidR="004071FA" w:rsidRPr="00F9101E" w:rsidRDefault="00CD7C1C" w:rsidP="00BF1751">
            <w:r>
              <w:t>La n</w:t>
            </w:r>
            <w:r w:rsidR="004071FA">
              <w:t xml:space="preserve">otion de « travailler » </w:t>
            </w:r>
            <w:r>
              <w:t xml:space="preserve">n’est </w:t>
            </w:r>
            <w:r w:rsidR="004071FA">
              <w:t xml:space="preserve">pas assez précise. </w:t>
            </w:r>
          </w:p>
        </w:tc>
        <w:tc>
          <w:tcPr>
            <w:tcW w:w="7034" w:type="dxa"/>
          </w:tcPr>
          <w:p w14:paraId="5367417E" w14:textId="7A19DA3D" w:rsidR="004071FA" w:rsidRPr="00F9101E" w:rsidRDefault="004071FA" w:rsidP="00BF1751">
            <w:pPr>
              <w:rPr>
                <w:rFonts w:cs="Arial"/>
              </w:rPr>
            </w:pPr>
            <w:r>
              <w:rPr>
                <w:rFonts w:cs="Arial"/>
              </w:rPr>
              <w:t xml:space="preserve">Les stagiaires exerçant une activité régie par la </w:t>
            </w:r>
            <w:proofErr w:type="spellStart"/>
            <w:r>
              <w:rPr>
                <w:rFonts w:cs="Arial"/>
              </w:rPr>
              <w:t>LPMéd</w:t>
            </w:r>
            <w:proofErr w:type="spellEnd"/>
            <w:r>
              <w:rPr>
                <w:rFonts w:cs="Arial"/>
              </w:rPr>
              <w:t xml:space="preserve"> ou la </w:t>
            </w:r>
            <w:proofErr w:type="spellStart"/>
            <w:r>
              <w:rPr>
                <w:rFonts w:cs="Arial"/>
              </w:rPr>
              <w:t>LPsy</w:t>
            </w:r>
            <w:proofErr w:type="spellEnd"/>
            <w:r>
              <w:rPr>
                <w:rFonts w:cs="Arial"/>
              </w:rPr>
              <w:t xml:space="preserve"> peuvent travailler </w:t>
            </w:r>
            <w:r w:rsidRPr="00A825FC">
              <w:rPr>
                <w:rFonts w:cs="Arial"/>
                <w:color w:val="FF0000"/>
              </w:rPr>
              <w:t xml:space="preserve">en lien avec une activité de soins </w:t>
            </w:r>
            <w:r>
              <w:rPr>
                <w:rFonts w:cs="Arial"/>
              </w:rPr>
              <w:t xml:space="preserve">au sein du système de santé militaire s’ils ont obtenu un </w:t>
            </w:r>
            <w:proofErr w:type="spellStart"/>
            <w:r>
              <w:rPr>
                <w:rFonts w:cs="Arial"/>
              </w:rPr>
              <w:t>bachelor</w:t>
            </w:r>
            <w:proofErr w:type="spellEnd"/>
            <w:r>
              <w:rPr>
                <w:rFonts w:cs="Arial"/>
              </w:rPr>
              <w:t xml:space="preserve"> d’une haute école fédérale ou d’une haute école étrangère dont les diplômes sont reconnus équivalents et s’ils sont inscrits au master du domaine concerné. </w:t>
            </w:r>
          </w:p>
        </w:tc>
      </w:tr>
      <w:tr w:rsidR="004071FA" w:rsidRPr="00F9101E" w14:paraId="27CD97BF" w14:textId="77777777" w:rsidTr="00BF1751">
        <w:tc>
          <w:tcPr>
            <w:tcW w:w="595" w:type="dxa"/>
          </w:tcPr>
          <w:p w14:paraId="5CAA4988" w14:textId="4F377274" w:rsidR="004071FA" w:rsidRDefault="004071FA" w:rsidP="00BF1751">
            <w:r>
              <w:t>10</w:t>
            </w:r>
          </w:p>
        </w:tc>
        <w:tc>
          <w:tcPr>
            <w:tcW w:w="534" w:type="dxa"/>
          </w:tcPr>
          <w:p w14:paraId="0BD3D8FA" w14:textId="1D2EB15F" w:rsidR="004071FA" w:rsidRDefault="004071FA" w:rsidP="00BF1751">
            <w:r>
              <w:t>2</w:t>
            </w:r>
          </w:p>
        </w:tc>
        <w:tc>
          <w:tcPr>
            <w:tcW w:w="5829" w:type="dxa"/>
          </w:tcPr>
          <w:p w14:paraId="593797E1" w14:textId="60F33052" w:rsidR="004071FA" w:rsidRDefault="004071FA" w:rsidP="00BF1751">
            <w:r>
              <w:t>« </w:t>
            </w:r>
            <w:proofErr w:type="gramStart"/>
            <w:r>
              <w:t>autres</w:t>
            </w:r>
            <w:proofErr w:type="gramEnd"/>
            <w:r>
              <w:t xml:space="preserve"> corps de métiers » difficile de savoir si on entend par là tout métier ou tout </w:t>
            </w:r>
            <w:r w:rsidRPr="00743D4A">
              <w:t>autre corps de métier d'une profession de la santé au sens de l'art. 7 ?</w:t>
            </w:r>
          </w:p>
        </w:tc>
        <w:tc>
          <w:tcPr>
            <w:tcW w:w="7034" w:type="dxa"/>
          </w:tcPr>
          <w:p w14:paraId="44CA8142" w14:textId="77777777" w:rsidR="004071FA" w:rsidRDefault="004071FA" w:rsidP="00BF1751">
            <w:pPr>
              <w:rPr>
                <w:rFonts w:cs="Arial"/>
              </w:rPr>
            </w:pPr>
          </w:p>
        </w:tc>
      </w:tr>
      <w:tr w:rsidR="004071FA" w:rsidRPr="00F9101E" w14:paraId="1C082C77" w14:textId="77777777" w:rsidTr="00BF1751">
        <w:tc>
          <w:tcPr>
            <w:tcW w:w="595" w:type="dxa"/>
          </w:tcPr>
          <w:p w14:paraId="05928D73" w14:textId="610D2F1B" w:rsidR="004071FA" w:rsidRDefault="004071FA" w:rsidP="00BF1751">
            <w:r>
              <w:t>11</w:t>
            </w:r>
          </w:p>
        </w:tc>
        <w:tc>
          <w:tcPr>
            <w:tcW w:w="534" w:type="dxa"/>
          </w:tcPr>
          <w:p w14:paraId="6249281A" w14:textId="77777777" w:rsidR="004071FA" w:rsidRDefault="004071FA" w:rsidP="004071FA"/>
        </w:tc>
        <w:tc>
          <w:tcPr>
            <w:tcW w:w="5829" w:type="dxa"/>
          </w:tcPr>
          <w:p w14:paraId="2B94578C" w14:textId="65A78FAF" w:rsidR="004071FA" w:rsidRDefault="004071FA" w:rsidP="004071FA">
            <w:r>
              <w:t>La notion « </w:t>
            </w:r>
            <w:r w:rsidRPr="004071FA">
              <w:t>d’autres personnes</w:t>
            </w:r>
            <w:r>
              <w:t> » pose la question de savoir q</w:t>
            </w:r>
            <w:r w:rsidRPr="00C24BAC">
              <w:t xml:space="preserve">uelles sont alors les qualifications professionnelles dans le domaine </w:t>
            </w:r>
            <w:proofErr w:type="gramStart"/>
            <w:r w:rsidRPr="00C24BAC">
              <w:t>concerné?</w:t>
            </w:r>
            <w:proofErr w:type="gramEnd"/>
            <w:r w:rsidRPr="00C24BAC">
              <w:t xml:space="preserve"> S'agit-il simplement de formation ad hoc à effectuer certains </w:t>
            </w:r>
            <w:proofErr w:type="gramStart"/>
            <w:r w:rsidRPr="00C24BAC">
              <w:t>gestes?</w:t>
            </w:r>
            <w:proofErr w:type="gramEnd"/>
            <w:r>
              <w:t xml:space="preserve"> Il faudrait préciser les qualifications professionnelles. Il manque la mention d’avoir acquis une formation spécifique dédiée.</w:t>
            </w:r>
          </w:p>
        </w:tc>
        <w:tc>
          <w:tcPr>
            <w:tcW w:w="7034" w:type="dxa"/>
          </w:tcPr>
          <w:p w14:paraId="74EF5120" w14:textId="77777777" w:rsidR="004071FA" w:rsidRDefault="004071FA" w:rsidP="00BF1751">
            <w:pPr>
              <w:rPr>
                <w:rFonts w:cs="Arial"/>
              </w:rPr>
            </w:pPr>
          </w:p>
        </w:tc>
      </w:tr>
    </w:tbl>
    <w:p w14:paraId="6937CCF4" w14:textId="77777777" w:rsidR="004071FA" w:rsidRDefault="004071FA">
      <w:pPr>
        <w:rPr>
          <w:sz w:val="22"/>
          <w:szCs w:val="22"/>
        </w:rPr>
      </w:pPr>
    </w:p>
    <w:p w14:paraId="7E6A9DD6" w14:textId="77777777" w:rsidR="004071FA" w:rsidRDefault="004071FA">
      <w:pPr>
        <w:rPr>
          <w:sz w:val="22"/>
          <w:szCs w:val="22"/>
        </w:rPr>
      </w:pPr>
    </w:p>
    <w:p w14:paraId="3DB7EB31" w14:textId="77777777" w:rsidR="00590960" w:rsidRDefault="00590960">
      <w:pPr>
        <w:rPr>
          <w:sz w:val="22"/>
          <w:szCs w:val="22"/>
        </w:rPr>
      </w:pPr>
    </w:p>
    <w:p w14:paraId="1DC0FEFB" w14:textId="77777777" w:rsidR="00A25C4F" w:rsidRDefault="00A25C4F">
      <w:pPr>
        <w:rPr>
          <w:sz w:val="22"/>
          <w:szCs w:val="22"/>
        </w:rPr>
      </w:pPr>
    </w:p>
    <w:p w14:paraId="518AFE56" w14:textId="77777777" w:rsidR="00A25C4F" w:rsidRDefault="00A25C4F">
      <w:pPr>
        <w:rPr>
          <w:sz w:val="22"/>
          <w:szCs w:val="22"/>
        </w:rPr>
      </w:pPr>
    </w:p>
    <w:p w14:paraId="6DE22E7C" w14:textId="77777777" w:rsidR="00A25C4F" w:rsidRDefault="00A25C4F">
      <w:pPr>
        <w:rPr>
          <w:sz w:val="22"/>
          <w:szCs w:val="22"/>
        </w:rPr>
      </w:pPr>
    </w:p>
    <w:p w14:paraId="37B5C4F7" w14:textId="77777777" w:rsidR="00A25C4F" w:rsidRDefault="00A25C4F">
      <w:pPr>
        <w:rPr>
          <w:sz w:val="22"/>
          <w:szCs w:val="22"/>
        </w:rPr>
      </w:pPr>
    </w:p>
    <w:p w14:paraId="0FCEF053" w14:textId="77777777" w:rsidR="00A25C4F" w:rsidRDefault="00A25C4F">
      <w:pPr>
        <w:rPr>
          <w:sz w:val="22"/>
          <w:szCs w:val="22"/>
        </w:rPr>
      </w:pPr>
    </w:p>
    <w:p w14:paraId="7050EB94" w14:textId="77777777" w:rsidR="00A25C4F" w:rsidRDefault="00A25C4F">
      <w:pPr>
        <w:rPr>
          <w:sz w:val="22"/>
          <w:szCs w:val="22"/>
        </w:rPr>
      </w:pPr>
    </w:p>
    <w:p w14:paraId="70028B2F" w14:textId="77777777" w:rsidR="00A25C4F" w:rsidRDefault="00A25C4F">
      <w:pPr>
        <w:rPr>
          <w:sz w:val="22"/>
          <w:szCs w:val="22"/>
        </w:rPr>
      </w:pPr>
    </w:p>
    <w:p w14:paraId="6EF0C1F5" w14:textId="77777777" w:rsidR="00A25C4F" w:rsidRDefault="00A25C4F">
      <w:pPr>
        <w:rPr>
          <w:sz w:val="22"/>
          <w:szCs w:val="22"/>
        </w:rPr>
      </w:pPr>
    </w:p>
    <w:p w14:paraId="32660E85" w14:textId="77777777" w:rsidR="00A25C4F" w:rsidRDefault="00A25C4F">
      <w:pPr>
        <w:rPr>
          <w:sz w:val="22"/>
          <w:szCs w:val="22"/>
        </w:rPr>
      </w:pPr>
    </w:p>
    <w:p w14:paraId="30CC0E93" w14:textId="77777777" w:rsidR="00A25C4F" w:rsidRDefault="00A25C4F">
      <w:pPr>
        <w:rPr>
          <w:sz w:val="22"/>
          <w:szCs w:val="22"/>
        </w:rPr>
      </w:pPr>
    </w:p>
    <w:p w14:paraId="0AB24E59" w14:textId="77777777" w:rsidR="00A25C4F" w:rsidRDefault="00A25C4F">
      <w:pPr>
        <w:rPr>
          <w:sz w:val="22"/>
          <w:szCs w:val="22"/>
        </w:rPr>
      </w:pPr>
    </w:p>
    <w:p w14:paraId="0DCB6B85" w14:textId="77777777" w:rsidR="00A25C4F" w:rsidRDefault="00A25C4F">
      <w:pPr>
        <w:rPr>
          <w:sz w:val="22"/>
          <w:szCs w:val="22"/>
        </w:rPr>
      </w:pPr>
    </w:p>
    <w:p w14:paraId="26037906" w14:textId="77777777" w:rsidR="00A25C4F" w:rsidRDefault="00A25C4F">
      <w:pPr>
        <w:rPr>
          <w:sz w:val="22"/>
          <w:szCs w:val="22"/>
        </w:rPr>
      </w:pPr>
    </w:p>
    <w:p w14:paraId="25C9FE76" w14:textId="77777777" w:rsidR="00A25C4F" w:rsidRDefault="00A25C4F">
      <w:pPr>
        <w:rPr>
          <w:sz w:val="22"/>
          <w:szCs w:val="22"/>
        </w:rPr>
      </w:pPr>
    </w:p>
    <w:p w14:paraId="48C4E780" w14:textId="77777777" w:rsidR="00A25C4F" w:rsidRDefault="00A25C4F">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4071FA" w:rsidRPr="00F9101E" w14:paraId="2853B86D" w14:textId="77777777" w:rsidTr="00BF1751">
        <w:tc>
          <w:tcPr>
            <w:tcW w:w="13992" w:type="dxa"/>
            <w:gridSpan w:val="4"/>
          </w:tcPr>
          <w:p w14:paraId="3F945141" w14:textId="7D1860FD" w:rsidR="004071FA" w:rsidRPr="004071FA" w:rsidRDefault="004071FA" w:rsidP="00BF1751">
            <w:pPr>
              <w:rPr>
                <w:b/>
                <w:bCs/>
                <w:sz w:val="22"/>
                <w:szCs w:val="22"/>
              </w:rPr>
            </w:pPr>
            <w:r w:rsidRPr="004071FA">
              <w:rPr>
                <w:b/>
                <w:bCs/>
                <w:sz w:val="22"/>
                <w:szCs w:val="22"/>
              </w:rPr>
              <w:lastRenderedPageBreak/>
              <w:t xml:space="preserve">Section </w:t>
            </w:r>
            <w:r>
              <w:rPr>
                <w:b/>
                <w:bCs/>
                <w:sz w:val="22"/>
                <w:szCs w:val="22"/>
              </w:rPr>
              <w:t>5     Devoirs du personnel médical et des professionnels de la santé militaire</w:t>
            </w:r>
          </w:p>
          <w:p w14:paraId="37FE0D5F" w14:textId="77777777" w:rsidR="004071FA" w:rsidRPr="00F9101E" w:rsidRDefault="004071FA" w:rsidP="00BF1751">
            <w:pPr>
              <w:rPr>
                <w:b/>
                <w:bCs/>
              </w:rPr>
            </w:pPr>
          </w:p>
        </w:tc>
      </w:tr>
      <w:tr w:rsidR="004071FA" w:rsidRPr="00F9101E" w14:paraId="7E2909F3" w14:textId="77777777" w:rsidTr="00BF1751">
        <w:tc>
          <w:tcPr>
            <w:tcW w:w="595" w:type="dxa"/>
          </w:tcPr>
          <w:p w14:paraId="2ED6E8F1" w14:textId="77777777" w:rsidR="004071FA" w:rsidRPr="00F9101E" w:rsidRDefault="004071FA" w:rsidP="00BF1751">
            <w:pPr>
              <w:rPr>
                <w:b/>
                <w:bCs/>
              </w:rPr>
            </w:pPr>
            <w:r w:rsidRPr="00F9101E">
              <w:rPr>
                <w:b/>
                <w:bCs/>
              </w:rPr>
              <w:t>Art.</w:t>
            </w:r>
          </w:p>
        </w:tc>
        <w:tc>
          <w:tcPr>
            <w:tcW w:w="534" w:type="dxa"/>
          </w:tcPr>
          <w:p w14:paraId="05B33A00" w14:textId="77777777" w:rsidR="004071FA" w:rsidRPr="00F9101E" w:rsidRDefault="004071FA" w:rsidP="00BF1751">
            <w:pPr>
              <w:rPr>
                <w:b/>
                <w:bCs/>
              </w:rPr>
            </w:pPr>
            <w:r w:rsidRPr="00F9101E">
              <w:rPr>
                <w:b/>
                <w:bCs/>
              </w:rPr>
              <w:t>Al.</w:t>
            </w:r>
          </w:p>
        </w:tc>
        <w:tc>
          <w:tcPr>
            <w:tcW w:w="5829" w:type="dxa"/>
          </w:tcPr>
          <w:p w14:paraId="47C4BA50" w14:textId="77777777" w:rsidR="004071FA" w:rsidRPr="00F9101E" w:rsidRDefault="004071FA" w:rsidP="00BF1751">
            <w:pPr>
              <w:rPr>
                <w:b/>
                <w:bCs/>
              </w:rPr>
            </w:pPr>
            <w:r w:rsidRPr="00F9101E">
              <w:rPr>
                <w:b/>
                <w:bCs/>
              </w:rPr>
              <w:t>Commentaires</w:t>
            </w:r>
          </w:p>
        </w:tc>
        <w:tc>
          <w:tcPr>
            <w:tcW w:w="7034" w:type="dxa"/>
          </w:tcPr>
          <w:p w14:paraId="612C5E43" w14:textId="08786B73" w:rsidR="004071FA" w:rsidRPr="00F9101E" w:rsidRDefault="003C0B31" w:rsidP="00BF1751">
            <w:pPr>
              <w:rPr>
                <w:b/>
                <w:bCs/>
              </w:rPr>
            </w:pPr>
            <w:r w:rsidRPr="003C0B31">
              <w:rPr>
                <w:b/>
                <w:bCs/>
              </w:rPr>
              <w:t>Modifications apportées à l’article</w:t>
            </w:r>
          </w:p>
        </w:tc>
      </w:tr>
      <w:tr w:rsidR="004071FA" w:rsidRPr="00F9101E" w14:paraId="1031B114" w14:textId="77777777" w:rsidTr="00BF1751">
        <w:tc>
          <w:tcPr>
            <w:tcW w:w="595" w:type="dxa"/>
          </w:tcPr>
          <w:p w14:paraId="076FB8C6" w14:textId="62D3D1DF" w:rsidR="004071FA" w:rsidRPr="00F9101E" w:rsidRDefault="004071FA" w:rsidP="00BF1751">
            <w:r>
              <w:t>12</w:t>
            </w:r>
          </w:p>
        </w:tc>
        <w:tc>
          <w:tcPr>
            <w:tcW w:w="534" w:type="dxa"/>
          </w:tcPr>
          <w:p w14:paraId="64104364" w14:textId="73273991" w:rsidR="004071FA" w:rsidRPr="00F9101E" w:rsidRDefault="004071FA" w:rsidP="00BF1751">
            <w:r>
              <w:t>2</w:t>
            </w:r>
          </w:p>
        </w:tc>
        <w:tc>
          <w:tcPr>
            <w:tcW w:w="5829" w:type="dxa"/>
          </w:tcPr>
          <w:p w14:paraId="5EF64DC2" w14:textId="0ED18E05" w:rsidR="004071FA" w:rsidRPr="00F9101E" w:rsidRDefault="004071FA" w:rsidP="00BF1751">
            <w:r>
              <w:t>Si l’on parle d’une forme de télémédecine, il faudrait aussi réserver les règles applicables en matière de protection des données donc faire une réserve à la LPD.</w:t>
            </w:r>
          </w:p>
        </w:tc>
        <w:tc>
          <w:tcPr>
            <w:tcW w:w="7034" w:type="dxa"/>
          </w:tcPr>
          <w:p w14:paraId="2A12040A" w14:textId="77777777" w:rsidR="004071FA" w:rsidRPr="00F9101E" w:rsidRDefault="004071FA" w:rsidP="00BF1751">
            <w:pPr>
              <w:rPr>
                <w:rFonts w:cs="Arial"/>
              </w:rPr>
            </w:pPr>
          </w:p>
        </w:tc>
      </w:tr>
      <w:tr w:rsidR="00BB25A7" w:rsidRPr="00F9101E" w14:paraId="59C0A560" w14:textId="77777777" w:rsidTr="00BF1751">
        <w:tc>
          <w:tcPr>
            <w:tcW w:w="595" w:type="dxa"/>
          </w:tcPr>
          <w:p w14:paraId="755F763E" w14:textId="4F3AD24B" w:rsidR="00BB25A7" w:rsidRDefault="00BB25A7" w:rsidP="00BF1751">
            <w:r>
              <w:t>14</w:t>
            </w:r>
          </w:p>
        </w:tc>
        <w:tc>
          <w:tcPr>
            <w:tcW w:w="534" w:type="dxa"/>
          </w:tcPr>
          <w:p w14:paraId="6A480DDD" w14:textId="1EA26F66" w:rsidR="00BB25A7" w:rsidRDefault="00BB25A7" w:rsidP="00BF1751">
            <w:r>
              <w:t>2</w:t>
            </w:r>
          </w:p>
        </w:tc>
        <w:tc>
          <w:tcPr>
            <w:tcW w:w="5829" w:type="dxa"/>
          </w:tcPr>
          <w:p w14:paraId="6948B7B7" w14:textId="651C5473" w:rsidR="00BB25A7" w:rsidRDefault="00BB25A7" w:rsidP="00BF1751">
            <w:r>
              <w:t>La notion de « </w:t>
            </w:r>
            <w:r w:rsidRPr="00BB25A7">
              <w:t>données importantes</w:t>
            </w:r>
            <w:r>
              <w:t> » n’est pas suffisante</w:t>
            </w:r>
            <w:r w:rsidR="00B63403">
              <w:t>.</w:t>
            </w:r>
          </w:p>
        </w:tc>
        <w:tc>
          <w:tcPr>
            <w:tcW w:w="7034" w:type="dxa"/>
          </w:tcPr>
          <w:p w14:paraId="54C411C9" w14:textId="37E41862" w:rsidR="00BB25A7" w:rsidRDefault="00371FAA" w:rsidP="00BF1751">
            <w:pPr>
              <w:rPr>
                <w:rFonts w:cs="Arial"/>
              </w:rPr>
            </w:pPr>
            <w:r w:rsidRPr="00371FAA">
              <w:rPr>
                <w:rFonts w:cs="Arial"/>
                <w:strike/>
              </w:rPr>
              <w:t>En ce qui concerne les données importantes dans le cas particulier</w:t>
            </w:r>
            <w:r>
              <w:rPr>
                <w:rFonts w:cs="Arial"/>
              </w:rPr>
              <w:t xml:space="preserve"> </w:t>
            </w:r>
            <w:r w:rsidR="00B63403" w:rsidRPr="00371FAA">
              <w:rPr>
                <w:rFonts w:cs="Arial"/>
                <w:color w:val="FF0000"/>
              </w:rPr>
              <w:t>Lorsqu’une communication de données médicales est nécessaire</w:t>
            </w:r>
            <w:r w:rsidR="0081344B">
              <w:rPr>
                <w:rFonts w:cs="Arial"/>
              </w:rPr>
              <w:t>, ils sont libérés du secret professionnel</w:t>
            </w:r>
            <w:r w:rsidR="00B63403">
              <w:rPr>
                <w:rFonts w:cs="Arial"/>
              </w:rPr>
              <w:t> :</w:t>
            </w:r>
          </w:p>
          <w:p w14:paraId="6DB26300" w14:textId="2D6DF39F" w:rsidR="00B63403" w:rsidRDefault="00B63403" w:rsidP="00B63403">
            <w:pPr>
              <w:pStyle w:val="Paragraphedeliste"/>
              <w:numPr>
                <w:ilvl w:val="0"/>
                <w:numId w:val="6"/>
              </w:numPr>
              <w:rPr>
                <w:rFonts w:cs="Arial"/>
              </w:rPr>
            </w:pPr>
            <w:proofErr w:type="gramStart"/>
            <w:r>
              <w:rPr>
                <w:rFonts w:cs="Arial"/>
              </w:rPr>
              <w:t>avec</w:t>
            </w:r>
            <w:proofErr w:type="gramEnd"/>
            <w:r>
              <w:rPr>
                <w:rFonts w:cs="Arial"/>
              </w:rPr>
              <w:t xml:space="preserve"> le consentement du patient ; </w:t>
            </w:r>
          </w:p>
          <w:p w14:paraId="6FA3E3DC" w14:textId="0DB18BB1" w:rsidR="00B63403" w:rsidRDefault="00B63403" w:rsidP="00B63403">
            <w:pPr>
              <w:pStyle w:val="Paragraphedeliste"/>
              <w:numPr>
                <w:ilvl w:val="0"/>
                <w:numId w:val="6"/>
              </w:numPr>
              <w:rPr>
                <w:rFonts w:cs="Arial"/>
              </w:rPr>
            </w:pPr>
            <w:proofErr w:type="gramStart"/>
            <w:r>
              <w:rPr>
                <w:rFonts w:cs="Arial"/>
              </w:rPr>
              <w:t>en</w:t>
            </w:r>
            <w:proofErr w:type="gramEnd"/>
            <w:r>
              <w:rPr>
                <w:rFonts w:cs="Arial"/>
              </w:rPr>
              <w:t xml:space="preserve"> cas de dispense écrite du Secrétariat général du DDPS, ou</w:t>
            </w:r>
          </w:p>
          <w:p w14:paraId="25BCDEEB" w14:textId="523C0F1B" w:rsidR="00B63403" w:rsidRPr="00B63403" w:rsidRDefault="00B63403" w:rsidP="00B63403">
            <w:pPr>
              <w:pStyle w:val="Paragraphedeliste"/>
              <w:numPr>
                <w:ilvl w:val="0"/>
                <w:numId w:val="6"/>
              </w:numPr>
              <w:rPr>
                <w:rFonts w:cs="Arial"/>
              </w:rPr>
            </w:pPr>
            <w:proofErr w:type="gramStart"/>
            <w:r>
              <w:rPr>
                <w:rFonts w:cs="Arial"/>
              </w:rPr>
              <w:t>s’il</w:t>
            </w:r>
            <w:proofErr w:type="gramEnd"/>
            <w:r>
              <w:rPr>
                <w:rFonts w:cs="Arial"/>
              </w:rPr>
              <w:t xml:space="preserve"> existe un droit ou un devoir d’annonce</w:t>
            </w:r>
          </w:p>
        </w:tc>
      </w:tr>
      <w:tr w:rsidR="00BE4678" w:rsidRPr="00F9101E" w14:paraId="11206237" w14:textId="77777777" w:rsidTr="00BF1751">
        <w:tc>
          <w:tcPr>
            <w:tcW w:w="595" w:type="dxa"/>
          </w:tcPr>
          <w:p w14:paraId="2BDFA8F1" w14:textId="084BF539" w:rsidR="00BE4678" w:rsidRDefault="00BE4678" w:rsidP="00BF1751">
            <w:r>
              <w:t>15</w:t>
            </w:r>
          </w:p>
        </w:tc>
        <w:tc>
          <w:tcPr>
            <w:tcW w:w="534" w:type="dxa"/>
          </w:tcPr>
          <w:p w14:paraId="3E60EB4F" w14:textId="06FBB12D" w:rsidR="00BE4678" w:rsidRDefault="00BE4678" w:rsidP="00BF1751"/>
        </w:tc>
        <w:tc>
          <w:tcPr>
            <w:tcW w:w="5829" w:type="dxa"/>
          </w:tcPr>
          <w:p w14:paraId="273013A9" w14:textId="409AA012" w:rsidR="00BE4678" w:rsidRDefault="00BE4678" w:rsidP="00BF1751">
            <w:r>
              <w:t xml:space="preserve">Cet article </w:t>
            </w:r>
            <w:r w:rsidRPr="00F46E88">
              <w:t>précise le contenu du dossier patient, ce que nous saluons. Dans le rapport explicatif, il est fait référence au dossier électronique du patient (DEP), mais cela n'est pas abordé dans un article de la section 6. Compte tenu de l'importance croissante du DEP (comme mentionné dans le rapport explicatif), il serait pertinent d'inclure également cet aspect dans les articles. De nombreux cantons ont ajouté des précisions similaires dans leur loi sur la santé publique</w:t>
            </w:r>
          </w:p>
        </w:tc>
        <w:tc>
          <w:tcPr>
            <w:tcW w:w="7034" w:type="dxa"/>
          </w:tcPr>
          <w:p w14:paraId="7A6F0BB0" w14:textId="77777777" w:rsidR="00BE4678" w:rsidDel="00B63403" w:rsidRDefault="00BE4678" w:rsidP="00BF1751">
            <w:pPr>
              <w:rPr>
                <w:rFonts w:cs="Arial"/>
              </w:rPr>
            </w:pPr>
          </w:p>
        </w:tc>
      </w:tr>
      <w:tr w:rsidR="00BE4678" w:rsidRPr="00F9101E" w14:paraId="2F8A54A5" w14:textId="77777777" w:rsidTr="00BF1751">
        <w:tc>
          <w:tcPr>
            <w:tcW w:w="595" w:type="dxa"/>
          </w:tcPr>
          <w:p w14:paraId="0D29BCF8" w14:textId="26BF9952" w:rsidR="00BE4678" w:rsidRDefault="00BE4678" w:rsidP="00BF1751">
            <w:r>
              <w:t>15</w:t>
            </w:r>
          </w:p>
        </w:tc>
        <w:tc>
          <w:tcPr>
            <w:tcW w:w="534" w:type="dxa"/>
          </w:tcPr>
          <w:p w14:paraId="154335D3" w14:textId="1F6998DC" w:rsidR="00BE4678" w:rsidRDefault="00BE4678" w:rsidP="00BF1751">
            <w:r>
              <w:t>2</w:t>
            </w:r>
          </w:p>
        </w:tc>
        <w:tc>
          <w:tcPr>
            <w:tcW w:w="5829" w:type="dxa"/>
          </w:tcPr>
          <w:p w14:paraId="4E749291" w14:textId="77777777" w:rsidR="00BE4678" w:rsidRDefault="00BE4678" w:rsidP="00BF1751"/>
        </w:tc>
        <w:tc>
          <w:tcPr>
            <w:tcW w:w="7034" w:type="dxa"/>
          </w:tcPr>
          <w:p w14:paraId="14DD1C2C" w14:textId="77777777" w:rsidR="00BE4678" w:rsidRDefault="00BE4678" w:rsidP="00BF1751">
            <w:pPr>
              <w:rPr>
                <w:rFonts w:cs="Arial"/>
              </w:rPr>
            </w:pPr>
            <w:r>
              <w:rPr>
                <w:rFonts w:cs="Arial"/>
              </w:rPr>
              <w:t xml:space="preserve">Le dossier du patient renseigne notamment sur : </w:t>
            </w:r>
          </w:p>
          <w:p w14:paraId="18CE95BD" w14:textId="77777777" w:rsidR="00BE4678" w:rsidRDefault="00BE4678" w:rsidP="00BE4678">
            <w:pPr>
              <w:pStyle w:val="Paragraphedeliste"/>
              <w:numPr>
                <w:ilvl w:val="0"/>
                <w:numId w:val="7"/>
              </w:numPr>
              <w:rPr>
                <w:rFonts w:cs="Arial"/>
              </w:rPr>
            </w:pPr>
            <w:proofErr w:type="gramStart"/>
            <w:r>
              <w:rPr>
                <w:rFonts w:cs="Arial"/>
              </w:rPr>
              <w:t>les</w:t>
            </w:r>
            <w:proofErr w:type="gramEnd"/>
            <w:r>
              <w:rPr>
                <w:rFonts w:cs="Arial"/>
              </w:rPr>
              <w:t xml:space="preserve"> informations données aux patients ; </w:t>
            </w:r>
          </w:p>
          <w:p w14:paraId="2C3DC585" w14:textId="77777777" w:rsidR="00BE4678" w:rsidRDefault="00BE4678" w:rsidP="00BE4678">
            <w:pPr>
              <w:pStyle w:val="Paragraphedeliste"/>
              <w:numPr>
                <w:ilvl w:val="0"/>
                <w:numId w:val="7"/>
              </w:numPr>
              <w:rPr>
                <w:rFonts w:cs="Arial"/>
              </w:rPr>
            </w:pPr>
            <w:proofErr w:type="gramStart"/>
            <w:r>
              <w:rPr>
                <w:rFonts w:cs="Arial"/>
              </w:rPr>
              <w:t>le</w:t>
            </w:r>
            <w:proofErr w:type="gramEnd"/>
            <w:r>
              <w:rPr>
                <w:rFonts w:cs="Arial"/>
              </w:rPr>
              <w:t xml:space="preserve"> consentement du patient ; </w:t>
            </w:r>
          </w:p>
          <w:p w14:paraId="0CA5A601" w14:textId="40301AD7" w:rsidR="00BE4678" w:rsidRDefault="00371FAA" w:rsidP="00BE4678">
            <w:pPr>
              <w:pStyle w:val="Paragraphedeliste"/>
              <w:numPr>
                <w:ilvl w:val="0"/>
                <w:numId w:val="7"/>
              </w:numPr>
              <w:rPr>
                <w:rFonts w:cs="Arial"/>
              </w:rPr>
            </w:pPr>
            <w:proofErr w:type="gramStart"/>
            <w:r w:rsidRPr="00371FAA">
              <w:rPr>
                <w:rFonts w:cs="Arial"/>
                <w:strike/>
              </w:rPr>
              <w:t>l’examen</w:t>
            </w:r>
            <w:proofErr w:type="gramEnd"/>
            <w:r w:rsidRPr="00371FAA">
              <w:rPr>
                <w:rFonts w:cs="Arial"/>
                <w:strike/>
              </w:rPr>
              <w:t xml:space="preserve"> médical</w:t>
            </w:r>
            <w:r>
              <w:rPr>
                <w:rFonts w:cs="Arial"/>
              </w:rPr>
              <w:t xml:space="preserve"> </w:t>
            </w:r>
            <w:r w:rsidR="00BE4678" w:rsidRPr="00371FAA">
              <w:rPr>
                <w:rFonts w:cs="Arial"/>
                <w:color w:val="FF0000"/>
              </w:rPr>
              <w:t>les examens médicaux, les rapports médicaux et expertises médicales ;</w:t>
            </w:r>
          </w:p>
          <w:p w14:paraId="2935EA00" w14:textId="6A289F32" w:rsidR="00BE4678" w:rsidRDefault="00BE4678" w:rsidP="00BE4678">
            <w:pPr>
              <w:pStyle w:val="Paragraphedeliste"/>
              <w:numPr>
                <w:ilvl w:val="0"/>
                <w:numId w:val="7"/>
              </w:numPr>
              <w:rPr>
                <w:rFonts w:cs="Arial"/>
              </w:rPr>
            </w:pPr>
            <w:proofErr w:type="gramStart"/>
            <w:r>
              <w:rPr>
                <w:rFonts w:cs="Arial"/>
              </w:rPr>
              <w:t>le</w:t>
            </w:r>
            <w:proofErr w:type="gramEnd"/>
            <w:r>
              <w:rPr>
                <w:rFonts w:cs="Arial"/>
              </w:rPr>
              <w:t xml:space="preserve"> diagnostic ;</w:t>
            </w:r>
          </w:p>
          <w:p w14:paraId="2F90DF2E" w14:textId="77777777" w:rsidR="00BE4678" w:rsidRDefault="00BE4678" w:rsidP="00BE4678">
            <w:pPr>
              <w:pStyle w:val="Paragraphedeliste"/>
              <w:numPr>
                <w:ilvl w:val="0"/>
                <w:numId w:val="7"/>
              </w:numPr>
              <w:rPr>
                <w:rFonts w:cs="Arial"/>
              </w:rPr>
            </w:pPr>
            <w:proofErr w:type="gramStart"/>
            <w:r>
              <w:rPr>
                <w:rFonts w:cs="Arial"/>
              </w:rPr>
              <w:t>le</w:t>
            </w:r>
            <w:proofErr w:type="gramEnd"/>
            <w:r>
              <w:rPr>
                <w:rFonts w:cs="Arial"/>
              </w:rPr>
              <w:t xml:space="preserve"> traitement ; </w:t>
            </w:r>
          </w:p>
          <w:p w14:paraId="69279BA1" w14:textId="463A356C" w:rsidR="00BE4678" w:rsidRPr="00BE4678" w:rsidDel="00B63403" w:rsidRDefault="00BE4678" w:rsidP="00BE4678">
            <w:pPr>
              <w:pStyle w:val="Paragraphedeliste"/>
              <w:numPr>
                <w:ilvl w:val="0"/>
                <w:numId w:val="7"/>
              </w:numPr>
              <w:rPr>
                <w:rFonts w:cs="Arial"/>
              </w:rPr>
            </w:pPr>
            <w:proofErr w:type="gramStart"/>
            <w:r>
              <w:rPr>
                <w:rFonts w:cs="Arial"/>
              </w:rPr>
              <w:t>les</w:t>
            </w:r>
            <w:proofErr w:type="gramEnd"/>
            <w:r>
              <w:rPr>
                <w:rFonts w:cs="Arial"/>
              </w:rPr>
              <w:t xml:space="preserve"> soins.</w:t>
            </w:r>
          </w:p>
        </w:tc>
      </w:tr>
    </w:tbl>
    <w:p w14:paraId="5C18A23B" w14:textId="77777777" w:rsidR="004071FA" w:rsidRDefault="004071FA">
      <w:pPr>
        <w:rPr>
          <w:sz w:val="22"/>
          <w:szCs w:val="22"/>
        </w:rPr>
      </w:pPr>
    </w:p>
    <w:p w14:paraId="0EEEFADA" w14:textId="77777777" w:rsidR="00A25C4F" w:rsidRDefault="00A25C4F">
      <w:pPr>
        <w:rPr>
          <w:sz w:val="22"/>
          <w:szCs w:val="22"/>
        </w:rPr>
      </w:pPr>
    </w:p>
    <w:p w14:paraId="67146DC6" w14:textId="77777777" w:rsidR="00A25C4F" w:rsidRDefault="00A25C4F">
      <w:pPr>
        <w:rPr>
          <w:sz w:val="22"/>
          <w:szCs w:val="22"/>
        </w:rPr>
      </w:pPr>
    </w:p>
    <w:p w14:paraId="204A83CA" w14:textId="77777777" w:rsidR="00A25C4F" w:rsidRDefault="00A25C4F">
      <w:pPr>
        <w:rPr>
          <w:sz w:val="22"/>
          <w:szCs w:val="22"/>
        </w:rPr>
      </w:pPr>
    </w:p>
    <w:p w14:paraId="78D3EE6C" w14:textId="77777777" w:rsidR="00A25C4F" w:rsidRDefault="00A25C4F">
      <w:pPr>
        <w:rPr>
          <w:sz w:val="22"/>
          <w:szCs w:val="22"/>
        </w:rPr>
      </w:pPr>
    </w:p>
    <w:p w14:paraId="2EB9C370" w14:textId="77777777" w:rsidR="00A25C4F" w:rsidRDefault="00A25C4F">
      <w:pPr>
        <w:rPr>
          <w:sz w:val="22"/>
          <w:szCs w:val="22"/>
        </w:rPr>
      </w:pPr>
    </w:p>
    <w:p w14:paraId="284FB4EE" w14:textId="77777777" w:rsidR="00A25C4F" w:rsidRDefault="00A25C4F">
      <w:pPr>
        <w:rPr>
          <w:sz w:val="22"/>
          <w:szCs w:val="22"/>
        </w:rPr>
      </w:pPr>
    </w:p>
    <w:p w14:paraId="771102F0" w14:textId="77777777" w:rsidR="00A25C4F" w:rsidRDefault="00A25C4F">
      <w:pPr>
        <w:rPr>
          <w:sz w:val="22"/>
          <w:szCs w:val="22"/>
        </w:rPr>
      </w:pPr>
    </w:p>
    <w:p w14:paraId="17419B42" w14:textId="77777777" w:rsidR="004071FA" w:rsidRDefault="004071FA">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15068D" w:rsidRPr="00F9101E" w14:paraId="1507B1B1" w14:textId="77777777" w:rsidTr="00F939F9">
        <w:tc>
          <w:tcPr>
            <w:tcW w:w="13992" w:type="dxa"/>
            <w:gridSpan w:val="4"/>
          </w:tcPr>
          <w:p w14:paraId="2CE56402" w14:textId="77777777" w:rsidR="0015068D" w:rsidRPr="004071FA" w:rsidRDefault="0015068D" w:rsidP="00F939F9">
            <w:pPr>
              <w:rPr>
                <w:b/>
                <w:bCs/>
                <w:sz w:val="22"/>
                <w:szCs w:val="22"/>
              </w:rPr>
            </w:pPr>
            <w:r w:rsidRPr="004071FA">
              <w:rPr>
                <w:b/>
                <w:bCs/>
                <w:sz w:val="22"/>
                <w:szCs w:val="22"/>
              </w:rPr>
              <w:lastRenderedPageBreak/>
              <w:t>Section 7     Prestations fournies à des tiers par le système de santé militaire</w:t>
            </w:r>
          </w:p>
          <w:p w14:paraId="773A5CD1" w14:textId="77777777" w:rsidR="0015068D" w:rsidRPr="00F9101E" w:rsidRDefault="0015068D" w:rsidP="00F939F9">
            <w:pPr>
              <w:rPr>
                <w:b/>
                <w:bCs/>
              </w:rPr>
            </w:pPr>
          </w:p>
        </w:tc>
      </w:tr>
      <w:tr w:rsidR="0015068D" w:rsidRPr="00F9101E" w14:paraId="34E6AA75" w14:textId="77777777" w:rsidTr="00F939F9">
        <w:tc>
          <w:tcPr>
            <w:tcW w:w="595" w:type="dxa"/>
          </w:tcPr>
          <w:p w14:paraId="63389F34" w14:textId="77777777" w:rsidR="0015068D" w:rsidRPr="00F9101E" w:rsidRDefault="0015068D" w:rsidP="00F939F9">
            <w:pPr>
              <w:rPr>
                <w:b/>
                <w:bCs/>
              </w:rPr>
            </w:pPr>
            <w:r w:rsidRPr="00F9101E">
              <w:rPr>
                <w:b/>
                <w:bCs/>
              </w:rPr>
              <w:t>Art.</w:t>
            </w:r>
          </w:p>
        </w:tc>
        <w:tc>
          <w:tcPr>
            <w:tcW w:w="534" w:type="dxa"/>
          </w:tcPr>
          <w:p w14:paraId="0E4067CF" w14:textId="77777777" w:rsidR="0015068D" w:rsidRPr="00F9101E" w:rsidRDefault="0015068D" w:rsidP="00F939F9">
            <w:pPr>
              <w:rPr>
                <w:b/>
                <w:bCs/>
              </w:rPr>
            </w:pPr>
            <w:r w:rsidRPr="00F9101E">
              <w:rPr>
                <w:b/>
                <w:bCs/>
              </w:rPr>
              <w:t>Al.</w:t>
            </w:r>
          </w:p>
        </w:tc>
        <w:tc>
          <w:tcPr>
            <w:tcW w:w="5829" w:type="dxa"/>
          </w:tcPr>
          <w:p w14:paraId="57DB227A" w14:textId="77777777" w:rsidR="0015068D" w:rsidRPr="00F9101E" w:rsidRDefault="0015068D" w:rsidP="00F939F9">
            <w:pPr>
              <w:rPr>
                <w:b/>
                <w:bCs/>
              </w:rPr>
            </w:pPr>
            <w:r w:rsidRPr="00F9101E">
              <w:rPr>
                <w:b/>
                <w:bCs/>
              </w:rPr>
              <w:t>Commentaires</w:t>
            </w:r>
          </w:p>
        </w:tc>
        <w:tc>
          <w:tcPr>
            <w:tcW w:w="7034" w:type="dxa"/>
          </w:tcPr>
          <w:p w14:paraId="0CC67798" w14:textId="467D41FF" w:rsidR="0015068D" w:rsidRPr="00F9101E" w:rsidRDefault="003C0B31" w:rsidP="00F939F9">
            <w:pPr>
              <w:rPr>
                <w:b/>
                <w:bCs/>
              </w:rPr>
            </w:pPr>
            <w:r w:rsidRPr="003C0B31">
              <w:rPr>
                <w:b/>
                <w:bCs/>
              </w:rPr>
              <w:t>Modifications apportées à l’article</w:t>
            </w:r>
          </w:p>
        </w:tc>
      </w:tr>
      <w:tr w:rsidR="0015068D" w:rsidRPr="00F9101E" w14:paraId="3FC2AC2A" w14:textId="77777777" w:rsidTr="00F939F9">
        <w:tc>
          <w:tcPr>
            <w:tcW w:w="595" w:type="dxa"/>
          </w:tcPr>
          <w:p w14:paraId="102612BD" w14:textId="77777777" w:rsidR="0015068D" w:rsidRPr="00F9101E" w:rsidRDefault="0015068D" w:rsidP="00F939F9">
            <w:r w:rsidRPr="00F9101E">
              <w:t xml:space="preserve">17 </w:t>
            </w:r>
          </w:p>
        </w:tc>
        <w:tc>
          <w:tcPr>
            <w:tcW w:w="534" w:type="dxa"/>
          </w:tcPr>
          <w:p w14:paraId="1FA99409" w14:textId="77777777" w:rsidR="0015068D" w:rsidRPr="00F9101E" w:rsidRDefault="0015068D" w:rsidP="00F939F9">
            <w:r w:rsidRPr="00F9101E">
              <w:t>1</w:t>
            </w:r>
          </w:p>
        </w:tc>
        <w:tc>
          <w:tcPr>
            <w:tcW w:w="5829" w:type="dxa"/>
          </w:tcPr>
          <w:p w14:paraId="47A0D9A9" w14:textId="77777777" w:rsidR="0015068D" w:rsidRPr="00F9101E" w:rsidRDefault="0015068D" w:rsidP="00F939F9">
            <w:r w:rsidRPr="00F9101E">
              <w:t xml:space="preserve">Dans le contexte actuel marqué par des pénuries récurrentes de certains médicaments, nous suggérons d’ajouter une prestation à fournir par la pharmacie de l’armée. Celle-ci pourrait inclure la fabrication de médicaments dits essentiels, tels que des antibiotiques, des analgésiques et autres traitements indispensables, en soutien au système de santé civil en cas de difficultés d’approvisionnement. </w:t>
            </w:r>
          </w:p>
        </w:tc>
        <w:tc>
          <w:tcPr>
            <w:tcW w:w="7034" w:type="dxa"/>
          </w:tcPr>
          <w:p w14:paraId="00CB11AC" w14:textId="77777777" w:rsidR="0015068D" w:rsidRPr="00F9101E" w:rsidRDefault="0015068D" w:rsidP="00F939F9">
            <w:pPr>
              <w:rPr>
                <w:rFonts w:cs="Arial"/>
              </w:rPr>
            </w:pPr>
            <w:r w:rsidRPr="00F9101E">
              <w:rPr>
                <w:rFonts w:cs="Arial"/>
                <w:vertAlign w:val="superscript"/>
              </w:rPr>
              <w:t>1</w:t>
            </w:r>
            <w:r w:rsidRPr="00F9101E">
              <w:rPr>
                <w:rFonts w:cs="Arial"/>
              </w:rPr>
              <w:t xml:space="preserve">Le système de santé militaire fournit notamment les prestations suivantes en faveur de tiers : </w:t>
            </w:r>
          </w:p>
          <w:p w14:paraId="0971AED5" w14:textId="77777777" w:rsidR="0015068D" w:rsidRPr="00F9101E" w:rsidRDefault="0015068D" w:rsidP="00F939F9">
            <w:pPr>
              <w:pStyle w:val="Paragraphedeliste"/>
              <w:numPr>
                <w:ilvl w:val="0"/>
                <w:numId w:val="1"/>
              </w:numPr>
              <w:rPr>
                <w:rFonts w:cs="Arial"/>
              </w:rPr>
            </w:pPr>
            <w:proofErr w:type="gramStart"/>
            <w:r w:rsidRPr="00F9101E">
              <w:rPr>
                <w:rFonts w:cs="Arial"/>
              </w:rPr>
              <w:t>pour</w:t>
            </w:r>
            <w:proofErr w:type="gramEnd"/>
            <w:r w:rsidRPr="00F9101E">
              <w:rPr>
                <w:rFonts w:cs="Arial"/>
              </w:rPr>
              <w:t xml:space="preserve"> les offices de l’administration fédérale :</w:t>
            </w:r>
          </w:p>
          <w:p w14:paraId="694CCF75" w14:textId="77777777" w:rsidR="0015068D" w:rsidRPr="00F9101E" w:rsidRDefault="0015068D" w:rsidP="00F939F9">
            <w:pPr>
              <w:pStyle w:val="Paragraphedeliste"/>
              <w:numPr>
                <w:ilvl w:val="0"/>
                <w:numId w:val="2"/>
              </w:numPr>
              <w:rPr>
                <w:rFonts w:cs="Arial"/>
              </w:rPr>
            </w:pPr>
            <w:r w:rsidRPr="00F9101E">
              <w:rPr>
                <w:rFonts w:cs="Arial"/>
              </w:rPr>
              <w:t>Les prestations pharmaceutiques de la Pharmacie de l’armée,</w:t>
            </w:r>
          </w:p>
          <w:p w14:paraId="42BFBC0B" w14:textId="77777777" w:rsidR="0015068D" w:rsidRPr="00F9101E" w:rsidRDefault="0015068D" w:rsidP="00F939F9">
            <w:pPr>
              <w:pStyle w:val="Paragraphedeliste"/>
              <w:numPr>
                <w:ilvl w:val="0"/>
                <w:numId w:val="2"/>
              </w:numPr>
              <w:rPr>
                <w:rFonts w:cs="Arial"/>
              </w:rPr>
            </w:pPr>
            <w:r w:rsidRPr="00F9101E">
              <w:rPr>
                <w:rFonts w:cs="Arial"/>
              </w:rPr>
              <w:t>Les prestations fournies par le service de renseignement sanitaire,</w:t>
            </w:r>
          </w:p>
          <w:p w14:paraId="509DCFCE" w14:textId="77777777" w:rsidR="0015068D" w:rsidRPr="00F9101E" w:rsidRDefault="0015068D" w:rsidP="00F939F9">
            <w:pPr>
              <w:pStyle w:val="Paragraphedeliste"/>
              <w:numPr>
                <w:ilvl w:val="0"/>
                <w:numId w:val="2"/>
              </w:numPr>
              <w:rPr>
                <w:rFonts w:cs="Arial"/>
              </w:rPr>
            </w:pPr>
            <w:r w:rsidRPr="00F9101E">
              <w:rPr>
                <w:rFonts w:cs="Arial"/>
              </w:rPr>
              <w:t>Les consultations médicales ;</w:t>
            </w:r>
          </w:p>
          <w:p w14:paraId="5139FB8F" w14:textId="77777777" w:rsidR="0015068D" w:rsidRPr="00F9101E" w:rsidRDefault="0015068D" w:rsidP="00F939F9">
            <w:pPr>
              <w:pStyle w:val="Paragraphedeliste"/>
              <w:numPr>
                <w:ilvl w:val="0"/>
                <w:numId w:val="1"/>
              </w:numPr>
              <w:rPr>
                <w:rFonts w:cs="Arial"/>
              </w:rPr>
            </w:pPr>
            <w:proofErr w:type="gramStart"/>
            <w:r w:rsidRPr="00F9101E">
              <w:rPr>
                <w:rFonts w:cs="Arial"/>
              </w:rPr>
              <w:t>pour</w:t>
            </w:r>
            <w:proofErr w:type="gramEnd"/>
            <w:r w:rsidRPr="00F9101E">
              <w:rPr>
                <w:rFonts w:cs="Arial"/>
              </w:rPr>
              <w:t xml:space="preserve"> les employés de l’administration fédérale, les prestations dans les domaines de la médecine du travail et de la médecine préventive, tels que les vaccins et les conseils médicaux ; </w:t>
            </w:r>
          </w:p>
          <w:p w14:paraId="3874821A" w14:textId="77777777" w:rsidR="0015068D" w:rsidRPr="00F9101E" w:rsidRDefault="0015068D" w:rsidP="00F939F9">
            <w:pPr>
              <w:pStyle w:val="Paragraphedeliste"/>
              <w:numPr>
                <w:ilvl w:val="0"/>
                <w:numId w:val="1"/>
              </w:numPr>
              <w:rPr>
                <w:rFonts w:cs="Arial"/>
              </w:rPr>
            </w:pPr>
            <w:proofErr w:type="gramStart"/>
            <w:r w:rsidRPr="00F9101E">
              <w:rPr>
                <w:rFonts w:cs="Arial"/>
              </w:rPr>
              <w:t>pour</w:t>
            </w:r>
            <w:proofErr w:type="gramEnd"/>
            <w:r w:rsidRPr="00F9101E">
              <w:rPr>
                <w:rFonts w:cs="Arial"/>
              </w:rPr>
              <w:t xml:space="preserve"> les patients civils, les examens, traitements, soins et transports dans le cadre de l’instruction et pendant l’engagement ;</w:t>
            </w:r>
          </w:p>
          <w:p w14:paraId="68B00186" w14:textId="77777777" w:rsidR="0015068D" w:rsidRPr="005B31D7" w:rsidRDefault="0015068D" w:rsidP="00F939F9">
            <w:pPr>
              <w:pStyle w:val="Paragraphedeliste"/>
              <w:numPr>
                <w:ilvl w:val="0"/>
                <w:numId w:val="1"/>
              </w:numPr>
              <w:rPr>
                <w:rFonts w:cs="Arial"/>
                <w:color w:val="FF0000"/>
              </w:rPr>
            </w:pPr>
            <w:proofErr w:type="gramStart"/>
            <w:r w:rsidRPr="005B31D7">
              <w:rPr>
                <w:rFonts w:cs="Arial"/>
                <w:color w:val="FF0000"/>
              </w:rPr>
              <w:t>pour</w:t>
            </w:r>
            <w:proofErr w:type="gramEnd"/>
            <w:r w:rsidRPr="005B31D7">
              <w:rPr>
                <w:rFonts w:cs="Arial"/>
                <w:color w:val="FF0000"/>
              </w:rPr>
              <w:t xml:space="preserve"> le système de santé civil, fabrication de médicaments essentiels en cas de difficultés d’approvisionnement.</w:t>
            </w:r>
          </w:p>
          <w:p w14:paraId="433768F7" w14:textId="77777777" w:rsidR="0015068D" w:rsidRPr="00F9101E" w:rsidRDefault="0015068D" w:rsidP="00F939F9">
            <w:pPr>
              <w:rPr>
                <w:rFonts w:cs="Arial"/>
              </w:rPr>
            </w:pPr>
          </w:p>
        </w:tc>
      </w:tr>
    </w:tbl>
    <w:p w14:paraId="551F4D4D" w14:textId="77777777" w:rsidR="0015068D" w:rsidRDefault="0015068D">
      <w:pPr>
        <w:rPr>
          <w:sz w:val="22"/>
          <w:szCs w:val="22"/>
        </w:rPr>
      </w:pPr>
    </w:p>
    <w:p w14:paraId="72E6E2DD" w14:textId="77777777" w:rsidR="007303C2" w:rsidRDefault="007303C2">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706679" w:rsidRPr="00F9101E" w14:paraId="77B08F05" w14:textId="77777777" w:rsidTr="004F1A76">
        <w:tc>
          <w:tcPr>
            <w:tcW w:w="13992" w:type="dxa"/>
            <w:gridSpan w:val="4"/>
          </w:tcPr>
          <w:p w14:paraId="5D7EE43F" w14:textId="69CC3FD4" w:rsidR="00706679" w:rsidRPr="004071FA" w:rsidRDefault="00706679" w:rsidP="004F1A76">
            <w:pPr>
              <w:rPr>
                <w:b/>
                <w:bCs/>
                <w:sz w:val="22"/>
                <w:szCs w:val="22"/>
              </w:rPr>
            </w:pPr>
            <w:r w:rsidRPr="004071FA">
              <w:rPr>
                <w:b/>
                <w:bCs/>
                <w:sz w:val="22"/>
                <w:szCs w:val="22"/>
              </w:rPr>
              <w:t xml:space="preserve">Section </w:t>
            </w:r>
            <w:r>
              <w:rPr>
                <w:b/>
                <w:bCs/>
                <w:sz w:val="22"/>
                <w:szCs w:val="22"/>
              </w:rPr>
              <w:t>8     Droits et devoirs des patients</w:t>
            </w:r>
          </w:p>
          <w:p w14:paraId="68073607" w14:textId="77777777" w:rsidR="00706679" w:rsidRPr="00F9101E" w:rsidRDefault="00706679" w:rsidP="004F1A76">
            <w:pPr>
              <w:rPr>
                <w:b/>
                <w:bCs/>
              </w:rPr>
            </w:pPr>
          </w:p>
        </w:tc>
      </w:tr>
      <w:tr w:rsidR="00706679" w:rsidRPr="00F9101E" w14:paraId="52595830" w14:textId="77777777" w:rsidTr="004F1A76">
        <w:tc>
          <w:tcPr>
            <w:tcW w:w="595" w:type="dxa"/>
          </w:tcPr>
          <w:p w14:paraId="4B6BA2E9" w14:textId="77777777" w:rsidR="00706679" w:rsidRPr="00F9101E" w:rsidRDefault="00706679" w:rsidP="004F1A76">
            <w:pPr>
              <w:rPr>
                <w:b/>
                <w:bCs/>
              </w:rPr>
            </w:pPr>
            <w:r w:rsidRPr="00F9101E">
              <w:rPr>
                <w:b/>
                <w:bCs/>
              </w:rPr>
              <w:t>Art.</w:t>
            </w:r>
          </w:p>
        </w:tc>
        <w:tc>
          <w:tcPr>
            <w:tcW w:w="534" w:type="dxa"/>
          </w:tcPr>
          <w:p w14:paraId="7B55944A" w14:textId="77777777" w:rsidR="00706679" w:rsidRPr="00F9101E" w:rsidRDefault="00706679" w:rsidP="004F1A76">
            <w:pPr>
              <w:rPr>
                <w:b/>
                <w:bCs/>
              </w:rPr>
            </w:pPr>
            <w:r w:rsidRPr="00F9101E">
              <w:rPr>
                <w:b/>
                <w:bCs/>
              </w:rPr>
              <w:t>Al.</w:t>
            </w:r>
          </w:p>
        </w:tc>
        <w:tc>
          <w:tcPr>
            <w:tcW w:w="5829" w:type="dxa"/>
          </w:tcPr>
          <w:p w14:paraId="1D26DE4F" w14:textId="77777777" w:rsidR="00706679" w:rsidRPr="00F9101E" w:rsidRDefault="00706679" w:rsidP="004F1A76">
            <w:pPr>
              <w:rPr>
                <w:b/>
                <w:bCs/>
              </w:rPr>
            </w:pPr>
            <w:r w:rsidRPr="00F9101E">
              <w:rPr>
                <w:b/>
                <w:bCs/>
              </w:rPr>
              <w:t>Commentaires</w:t>
            </w:r>
          </w:p>
        </w:tc>
        <w:tc>
          <w:tcPr>
            <w:tcW w:w="7034" w:type="dxa"/>
          </w:tcPr>
          <w:p w14:paraId="772B4740" w14:textId="606F7DDB" w:rsidR="00706679" w:rsidRPr="00F9101E" w:rsidRDefault="003C0B31" w:rsidP="004F1A76">
            <w:pPr>
              <w:rPr>
                <w:b/>
                <w:bCs/>
              </w:rPr>
            </w:pPr>
            <w:r w:rsidRPr="003C0B31">
              <w:rPr>
                <w:b/>
                <w:bCs/>
              </w:rPr>
              <w:t>Modifications apportées à l’article</w:t>
            </w:r>
          </w:p>
        </w:tc>
      </w:tr>
      <w:tr w:rsidR="00706679" w:rsidRPr="00F9101E" w14:paraId="6BC92AF3" w14:textId="77777777" w:rsidTr="004F1A76">
        <w:tc>
          <w:tcPr>
            <w:tcW w:w="595" w:type="dxa"/>
          </w:tcPr>
          <w:p w14:paraId="4898FFAE" w14:textId="7ADF1060" w:rsidR="00706679" w:rsidRPr="00F9101E" w:rsidRDefault="00706679" w:rsidP="004F1A76">
            <w:r>
              <w:t>18</w:t>
            </w:r>
          </w:p>
        </w:tc>
        <w:tc>
          <w:tcPr>
            <w:tcW w:w="534" w:type="dxa"/>
          </w:tcPr>
          <w:p w14:paraId="309592AC" w14:textId="5A843C5E" w:rsidR="00706679" w:rsidRPr="00F9101E" w:rsidRDefault="00706679" w:rsidP="004F1A76">
            <w:r>
              <w:t>2</w:t>
            </w:r>
          </w:p>
        </w:tc>
        <w:tc>
          <w:tcPr>
            <w:tcW w:w="5829" w:type="dxa"/>
          </w:tcPr>
          <w:p w14:paraId="7528AFDD" w14:textId="3D15A841" w:rsidR="00706679" w:rsidRPr="00F9101E" w:rsidRDefault="00706679" w:rsidP="004F1A76">
            <w:r>
              <w:t xml:space="preserve">« Pour des raisons médicales, éthiques ou </w:t>
            </w:r>
            <w:r w:rsidRPr="00706679">
              <w:t>de soins »</w:t>
            </w:r>
            <w:r>
              <w:t>. Que signifie de soins ? A-t-on voulu parler de soins non nécessaires (futiles) et donc ne correspondant pas aux critères d’économicité ? A préciser</w:t>
            </w:r>
          </w:p>
        </w:tc>
        <w:tc>
          <w:tcPr>
            <w:tcW w:w="7034" w:type="dxa"/>
          </w:tcPr>
          <w:p w14:paraId="34EFBA41" w14:textId="77777777" w:rsidR="00706679" w:rsidRPr="00F9101E" w:rsidRDefault="00706679" w:rsidP="004F1A76">
            <w:pPr>
              <w:rPr>
                <w:rFonts w:cs="Arial"/>
              </w:rPr>
            </w:pPr>
          </w:p>
        </w:tc>
      </w:tr>
      <w:tr w:rsidR="00706679" w:rsidRPr="00F9101E" w14:paraId="2B9D9D82" w14:textId="77777777" w:rsidTr="004F1A76">
        <w:tc>
          <w:tcPr>
            <w:tcW w:w="595" w:type="dxa"/>
          </w:tcPr>
          <w:p w14:paraId="66006FD7" w14:textId="7F9FD4A8" w:rsidR="00706679" w:rsidRDefault="00706679" w:rsidP="004F1A76">
            <w:r>
              <w:t>19</w:t>
            </w:r>
          </w:p>
        </w:tc>
        <w:tc>
          <w:tcPr>
            <w:tcW w:w="534" w:type="dxa"/>
          </w:tcPr>
          <w:p w14:paraId="39CF7A13" w14:textId="77777777" w:rsidR="00706679" w:rsidRDefault="00706679" w:rsidP="004F1A76"/>
        </w:tc>
        <w:tc>
          <w:tcPr>
            <w:tcW w:w="5829" w:type="dxa"/>
          </w:tcPr>
          <w:p w14:paraId="44636C25" w14:textId="1EC0F1D9" w:rsidR="00996CC6" w:rsidRDefault="00996CC6" w:rsidP="00996CC6">
            <w:pPr>
              <w:jc w:val="both"/>
            </w:pPr>
            <w:r>
              <w:t>Supprimer la notion « d</w:t>
            </w:r>
            <w:r w:rsidRPr="00996CC6">
              <w:t>’assistance spirituelle</w:t>
            </w:r>
            <w:r>
              <w:t> » car c’est une composante de l’accompagnement qui peut prendre plusieurs formes.</w:t>
            </w:r>
          </w:p>
          <w:p w14:paraId="678B051D" w14:textId="77777777" w:rsidR="00706679" w:rsidRDefault="00706679" w:rsidP="004F1A76"/>
        </w:tc>
        <w:tc>
          <w:tcPr>
            <w:tcW w:w="7034" w:type="dxa"/>
          </w:tcPr>
          <w:p w14:paraId="5B501E0C" w14:textId="2DE34DD7" w:rsidR="00706679" w:rsidRPr="00F9101E" w:rsidRDefault="00706679" w:rsidP="004F1A76">
            <w:pPr>
              <w:rPr>
                <w:rFonts w:cs="Arial"/>
              </w:rPr>
            </w:pPr>
            <w:r>
              <w:rPr>
                <w:rFonts w:cs="Arial"/>
              </w:rPr>
              <w:t>Les patients atteints de maladies incurables et les mourants ont droit à une prise en charge adaptée et globale ainsi qu’à un soulagement maximal de leurs souffrances et de leurs douleurs, conformément aux principes de la médecine, des soins</w:t>
            </w:r>
            <w:r w:rsidR="005B31D7">
              <w:rPr>
                <w:rFonts w:cs="Arial"/>
              </w:rPr>
              <w:t xml:space="preserve"> </w:t>
            </w:r>
            <w:r w:rsidR="00996CC6" w:rsidRPr="005B31D7">
              <w:rPr>
                <w:rFonts w:cs="Arial"/>
                <w:color w:val="FF0000"/>
              </w:rPr>
              <w:t>et</w:t>
            </w:r>
            <w:r>
              <w:rPr>
                <w:rFonts w:cs="Arial"/>
              </w:rPr>
              <w:t xml:space="preserve"> de l’accompagnement </w:t>
            </w:r>
            <w:r w:rsidR="005B31D7" w:rsidRPr="005B31D7">
              <w:rPr>
                <w:rFonts w:cs="Arial"/>
                <w:strike/>
              </w:rPr>
              <w:t>et de l’assistance spirituelle</w:t>
            </w:r>
            <w:r w:rsidR="005B31D7">
              <w:rPr>
                <w:rFonts w:cs="Arial"/>
              </w:rPr>
              <w:t xml:space="preserve"> </w:t>
            </w:r>
            <w:r>
              <w:rPr>
                <w:rFonts w:cs="Arial"/>
              </w:rPr>
              <w:t xml:space="preserve">dans le domaine palliatif. </w:t>
            </w:r>
          </w:p>
        </w:tc>
      </w:tr>
      <w:tr w:rsidR="00825D09" w:rsidRPr="00F9101E" w14:paraId="178400E7" w14:textId="77777777" w:rsidTr="004F1A76">
        <w:tc>
          <w:tcPr>
            <w:tcW w:w="595" w:type="dxa"/>
          </w:tcPr>
          <w:p w14:paraId="1D35B550" w14:textId="6D49921A" w:rsidR="00825D09" w:rsidRDefault="00825D09" w:rsidP="004F1A76">
            <w:r>
              <w:t>20</w:t>
            </w:r>
          </w:p>
        </w:tc>
        <w:tc>
          <w:tcPr>
            <w:tcW w:w="534" w:type="dxa"/>
          </w:tcPr>
          <w:p w14:paraId="30797C7B" w14:textId="77777777" w:rsidR="00825D09" w:rsidRDefault="00825D09" w:rsidP="004F1A76"/>
        </w:tc>
        <w:tc>
          <w:tcPr>
            <w:tcW w:w="5829" w:type="dxa"/>
          </w:tcPr>
          <w:p w14:paraId="3FA939EC" w14:textId="77777777" w:rsidR="00825D09" w:rsidRDefault="00825D09" w:rsidP="00996CC6">
            <w:pPr>
              <w:jc w:val="both"/>
            </w:pPr>
          </w:p>
        </w:tc>
        <w:tc>
          <w:tcPr>
            <w:tcW w:w="7034" w:type="dxa"/>
          </w:tcPr>
          <w:p w14:paraId="36BF8660" w14:textId="77777777" w:rsidR="00825D09" w:rsidRDefault="00825D09" w:rsidP="004F1A76">
            <w:pPr>
              <w:rPr>
                <w:rFonts w:cs="Arial"/>
              </w:rPr>
            </w:pPr>
            <w:r>
              <w:rPr>
                <w:rFonts w:cs="Arial"/>
              </w:rPr>
              <w:t xml:space="preserve">Dans les établissements hospitaliers et dans les structures de soins de jour ou de nuit, les patients ont les droits suivants : </w:t>
            </w:r>
          </w:p>
          <w:p w14:paraId="167C6E48" w14:textId="777EFE83" w:rsidR="00825D09" w:rsidRDefault="00825D09" w:rsidP="00825D09">
            <w:pPr>
              <w:pStyle w:val="Paragraphedeliste"/>
              <w:numPr>
                <w:ilvl w:val="0"/>
                <w:numId w:val="8"/>
              </w:numPr>
              <w:rPr>
                <w:rFonts w:cs="Arial"/>
              </w:rPr>
            </w:pPr>
            <w:proofErr w:type="gramStart"/>
            <w:r>
              <w:rPr>
                <w:rFonts w:cs="Arial"/>
              </w:rPr>
              <w:t>ils</w:t>
            </w:r>
            <w:proofErr w:type="gramEnd"/>
            <w:r>
              <w:rPr>
                <w:rFonts w:cs="Arial"/>
              </w:rPr>
              <w:t xml:space="preserve"> peuvent recevoir des visites si les circonstances le permettent ;</w:t>
            </w:r>
          </w:p>
          <w:p w14:paraId="61F98195" w14:textId="77777777" w:rsidR="00825D09" w:rsidRDefault="00825D09" w:rsidP="00825D09">
            <w:pPr>
              <w:pStyle w:val="Paragraphedeliste"/>
              <w:numPr>
                <w:ilvl w:val="0"/>
                <w:numId w:val="8"/>
              </w:numPr>
              <w:rPr>
                <w:rFonts w:cs="Arial"/>
              </w:rPr>
            </w:pPr>
            <w:proofErr w:type="gramStart"/>
            <w:r>
              <w:rPr>
                <w:rFonts w:cs="Arial"/>
              </w:rPr>
              <w:t>ils</w:t>
            </w:r>
            <w:proofErr w:type="gramEnd"/>
            <w:r>
              <w:rPr>
                <w:rFonts w:cs="Arial"/>
              </w:rPr>
              <w:t xml:space="preserve"> peuvent refuser les visites ;</w:t>
            </w:r>
          </w:p>
          <w:p w14:paraId="13E45FB4" w14:textId="035E52F9" w:rsidR="00825D09" w:rsidRDefault="00825D09" w:rsidP="00825D09">
            <w:pPr>
              <w:pStyle w:val="Paragraphedeliste"/>
              <w:numPr>
                <w:ilvl w:val="0"/>
                <w:numId w:val="8"/>
              </w:numPr>
              <w:rPr>
                <w:rFonts w:cs="Arial"/>
              </w:rPr>
            </w:pPr>
            <w:proofErr w:type="gramStart"/>
            <w:r>
              <w:rPr>
                <w:rFonts w:cs="Arial"/>
              </w:rPr>
              <w:lastRenderedPageBreak/>
              <w:t>ils</w:t>
            </w:r>
            <w:proofErr w:type="gramEnd"/>
            <w:r>
              <w:rPr>
                <w:rFonts w:cs="Arial"/>
              </w:rPr>
              <w:t xml:space="preserve"> peuvent bénéficier d’un</w:t>
            </w:r>
            <w:r w:rsidR="005B31D7" w:rsidRPr="005B31D7">
              <w:rPr>
                <w:rFonts w:cs="Arial"/>
                <w:strike/>
              </w:rPr>
              <w:t>e assistance spirituelle</w:t>
            </w:r>
            <w:r w:rsidRPr="005B31D7">
              <w:rPr>
                <w:rFonts w:cs="Arial"/>
                <w:strike/>
              </w:rPr>
              <w:t xml:space="preserve"> </w:t>
            </w:r>
            <w:r w:rsidRPr="005B31D7">
              <w:rPr>
                <w:rFonts w:cs="Arial"/>
                <w:color w:val="FF0000"/>
              </w:rPr>
              <w:t>accompagnement</w:t>
            </w:r>
          </w:p>
          <w:p w14:paraId="5A1FF843" w14:textId="2450735C" w:rsidR="00825D09" w:rsidRPr="00825D09" w:rsidRDefault="00825D09" w:rsidP="00825D09">
            <w:pPr>
              <w:pStyle w:val="Paragraphedeliste"/>
              <w:numPr>
                <w:ilvl w:val="0"/>
                <w:numId w:val="8"/>
              </w:numPr>
              <w:rPr>
                <w:rFonts w:cs="Arial"/>
              </w:rPr>
            </w:pPr>
            <w:proofErr w:type="gramStart"/>
            <w:r>
              <w:rPr>
                <w:rFonts w:cs="Arial"/>
              </w:rPr>
              <w:t>ils</w:t>
            </w:r>
            <w:proofErr w:type="gramEnd"/>
            <w:r>
              <w:rPr>
                <w:rFonts w:cs="Arial"/>
              </w:rPr>
              <w:t xml:space="preserve"> sont informés de manière adéquate et compréhensible de leurs droits et devoirs ainsi que du fonctionnement et du règlement intérieur de l’établissement.</w:t>
            </w:r>
          </w:p>
        </w:tc>
      </w:tr>
      <w:tr w:rsidR="00825D09" w:rsidRPr="00F9101E" w14:paraId="349B2097" w14:textId="77777777" w:rsidTr="004F1A76">
        <w:tc>
          <w:tcPr>
            <w:tcW w:w="595" w:type="dxa"/>
          </w:tcPr>
          <w:p w14:paraId="0B984FC6" w14:textId="701735E3" w:rsidR="00825D09" w:rsidRDefault="00825D09" w:rsidP="004F1A76">
            <w:r>
              <w:lastRenderedPageBreak/>
              <w:t>21</w:t>
            </w:r>
          </w:p>
        </w:tc>
        <w:tc>
          <w:tcPr>
            <w:tcW w:w="534" w:type="dxa"/>
          </w:tcPr>
          <w:p w14:paraId="6D39218A" w14:textId="457B2FB7" w:rsidR="00825D09" w:rsidRDefault="00825D09" w:rsidP="004F1A76">
            <w:r>
              <w:t>1</w:t>
            </w:r>
          </w:p>
        </w:tc>
        <w:tc>
          <w:tcPr>
            <w:tcW w:w="5829" w:type="dxa"/>
          </w:tcPr>
          <w:p w14:paraId="43C89754" w14:textId="6290B963" w:rsidR="00825D09" w:rsidRDefault="00145F8E" w:rsidP="00145F8E">
            <w:r>
              <w:t>« </w:t>
            </w:r>
            <w:proofErr w:type="gramStart"/>
            <w:r>
              <w:t>de</w:t>
            </w:r>
            <w:proofErr w:type="gramEnd"/>
            <w:r>
              <w:t xml:space="preserve"> manière raisonnable » est une notion imprécise. Les traitements dont il est fait référence dans cette disposition concernent-ils bien les traitements auxquels les patients ont consenti ? Ou sommes-nous dans les cas de traitement sous la contrainte (ceux de l’al. 4) ?</w:t>
            </w:r>
          </w:p>
        </w:tc>
        <w:tc>
          <w:tcPr>
            <w:tcW w:w="7034" w:type="dxa"/>
          </w:tcPr>
          <w:p w14:paraId="01625673" w14:textId="77777777" w:rsidR="00825D09" w:rsidRDefault="00825D09" w:rsidP="004F1A76">
            <w:pPr>
              <w:rPr>
                <w:rFonts w:cs="Arial"/>
              </w:rPr>
            </w:pPr>
          </w:p>
        </w:tc>
      </w:tr>
      <w:tr w:rsidR="00145F8E" w:rsidRPr="00F9101E" w14:paraId="1FB1C501" w14:textId="77777777" w:rsidTr="004F1A76">
        <w:tc>
          <w:tcPr>
            <w:tcW w:w="595" w:type="dxa"/>
          </w:tcPr>
          <w:p w14:paraId="56F387B6" w14:textId="77F7D363" w:rsidR="00145F8E" w:rsidRDefault="00145F8E" w:rsidP="004F1A76">
            <w:r>
              <w:t>24</w:t>
            </w:r>
          </w:p>
        </w:tc>
        <w:tc>
          <w:tcPr>
            <w:tcW w:w="534" w:type="dxa"/>
          </w:tcPr>
          <w:p w14:paraId="57AA4687" w14:textId="79758303" w:rsidR="00145F8E" w:rsidRDefault="00145F8E" w:rsidP="004F1A76">
            <w:r>
              <w:t>1</w:t>
            </w:r>
          </w:p>
        </w:tc>
        <w:tc>
          <w:tcPr>
            <w:tcW w:w="5829" w:type="dxa"/>
          </w:tcPr>
          <w:p w14:paraId="3A609B16" w14:textId="77777777" w:rsidR="00145F8E" w:rsidRDefault="00145F8E" w:rsidP="00145F8E"/>
        </w:tc>
        <w:tc>
          <w:tcPr>
            <w:tcW w:w="7034" w:type="dxa"/>
          </w:tcPr>
          <w:p w14:paraId="22DFE8A1" w14:textId="77777777" w:rsidR="00145F8E" w:rsidRDefault="00D77315" w:rsidP="004F1A76">
            <w:pPr>
              <w:rPr>
                <w:rFonts w:cs="Arial"/>
              </w:rPr>
            </w:pPr>
            <w:r w:rsidRPr="00A52B55">
              <w:rPr>
                <w:rFonts w:cs="Arial"/>
                <w:color w:val="FF0000"/>
              </w:rPr>
              <w:t>Pour garantir leur consentement libre et éclairé</w:t>
            </w:r>
            <w:r>
              <w:rPr>
                <w:rFonts w:cs="Arial"/>
              </w:rPr>
              <w:t xml:space="preserve">, les patients ont le droit de recevoir les informations nécessaires sous une forme compréhensible et adéquate au sujet de : </w:t>
            </w:r>
          </w:p>
          <w:p w14:paraId="08752B6C" w14:textId="77777777" w:rsidR="00D77315" w:rsidRDefault="00D77315" w:rsidP="00D77315">
            <w:pPr>
              <w:pStyle w:val="Paragraphedeliste"/>
              <w:numPr>
                <w:ilvl w:val="0"/>
                <w:numId w:val="9"/>
              </w:numPr>
              <w:rPr>
                <w:rFonts w:cs="Arial"/>
              </w:rPr>
            </w:pPr>
            <w:proofErr w:type="gramStart"/>
            <w:r>
              <w:rPr>
                <w:rFonts w:cs="Arial"/>
              </w:rPr>
              <w:t>leurs</w:t>
            </w:r>
            <w:proofErr w:type="gramEnd"/>
            <w:r>
              <w:rPr>
                <w:rFonts w:cs="Arial"/>
              </w:rPr>
              <w:t xml:space="preserve"> droits et devoirs ; </w:t>
            </w:r>
          </w:p>
          <w:p w14:paraId="5A4B24BD" w14:textId="77777777" w:rsidR="00D77315" w:rsidRDefault="00D77315" w:rsidP="00D77315">
            <w:pPr>
              <w:pStyle w:val="Paragraphedeliste"/>
              <w:numPr>
                <w:ilvl w:val="0"/>
                <w:numId w:val="9"/>
              </w:numPr>
              <w:rPr>
                <w:rFonts w:cs="Arial"/>
              </w:rPr>
            </w:pPr>
            <w:proofErr w:type="gramStart"/>
            <w:r>
              <w:rPr>
                <w:rFonts w:cs="Arial"/>
              </w:rPr>
              <w:t>leur</w:t>
            </w:r>
            <w:proofErr w:type="gramEnd"/>
            <w:r>
              <w:rPr>
                <w:rFonts w:cs="Arial"/>
              </w:rPr>
              <w:t xml:space="preserve"> état de santé, le diagnostic et le pronostic ; </w:t>
            </w:r>
          </w:p>
          <w:p w14:paraId="6012BC49" w14:textId="77777777" w:rsidR="00D77315" w:rsidRDefault="00D77315" w:rsidP="00D77315">
            <w:pPr>
              <w:pStyle w:val="Paragraphedeliste"/>
              <w:numPr>
                <w:ilvl w:val="0"/>
                <w:numId w:val="9"/>
              </w:numPr>
              <w:rPr>
                <w:rFonts w:cs="Arial"/>
              </w:rPr>
            </w:pPr>
            <w:proofErr w:type="gramStart"/>
            <w:r>
              <w:rPr>
                <w:rFonts w:cs="Arial"/>
              </w:rPr>
              <w:t>la</w:t>
            </w:r>
            <w:proofErr w:type="gramEnd"/>
            <w:r>
              <w:rPr>
                <w:rFonts w:cs="Arial"/>
              </w:rPr>
              <w:t xml:space="preserve"> nature, des modalités, du but, des risques, des effets secondaires possibles et des éventuelles conséquences financières des mesures prophylactiques, diagnostiques ou thérapeutiques proposées ; </w:t>
            </w:r>
          </w:p>
          <w:p w14:paraId="272A6001" w14:textId="33D426D2" w:rsidR="00D77315" w:rsidRPr="00D77315" w:rsidRDefault="00D77315" w:rsidP="00D77315">
            <w:pPr>
              <w:pStyle w:val="Paragraphedeliste"/>
              <w:numPr>
                <w:ilvl w:val="0"/>
                <w:numId w:val="9"/>
              </w:numPr>
              <w:rPr>
                <w:rFonts w:cs="Arial"/>
              </w:rPr>
            </w:pPr>
            <w:proofErr w:type="gramStart"/>
            <w:r>
              <w:rPr>
                <w:rFonts w:cs="Arial"/>
              </w:rPr>
              <w:t>l’évolution</w:t>
            </w:r>
            <w:proofErr w:type="gramEnd"/>
            <w:r>
              <w:rPr>
                <w:rFonts w:cs="Arial"/>
              </w:rPr>
              <w:t xml:space="preserve"> probable de l’état de santé avec et sans les mesures proposées.</w:t>
            </w:r>
          </w:p>
        </w:tc>
      </w:tr>
      <w:tr w:rsidR="00E42D5F" w:rsidRPr="00F9101E" w14:paraId="02CAEE2C" w14:textId="77777777" w:rsidTr="004F1A76">
        <w:tc>
          <w:tcPr>
            <w:tcW w:w="595" w:type="dxa"/>
          </w:tcPr>
          <w:p w14:paraId="35F39C1D" w14:textId="60903D18" w:rsidR="00E42D5F" w:rsidRDefault="00E42D5F" w:rsidP="004F1A76">
            <w:r>
              <w:t>24</w:t>
            </w:r>
          </w:p>
        </w:tc>
        <w:tc>
          <w:tcPr>
            <w:tcW w:w="534" w:type="dxa"/>
          </w:tcPr>
          <w:p w14:paraId="5DB8D096" w14:textId="1884BA35" w:rsidR="00E42D5F" w:rsidRDefault="00E42D5F" w:rsidP="004F1A76">
            <w:r>
              <w:t>3</w:t>
            </w:r>
          </w:p>
        </w:tc>
        <w:tc>
          <w:tcPr>
            <w:tcW w:w="5829" w:type="dxa"/>
          </w:tcPr>
          <w:p w14:paraId="1626F258" w14:textId="7B5FD8C3" w:rsidR="00E42D5F" w:rsidRPr="00E42D5F" w:rsidRDefault="00E42D5F" w:rsidP="00E42D5F">
            <w:pPr>
              <w:autoSpaceDE w:val="0"/>
              <w:autoSpaceDN w:val="0"/>
              <w:adjustRightInd w:val="0"/>
              <w:rPr>
                <w:rFonts w:eastAsiaTheme="minorHAnsi" w:cs="Arial"/>
                <w:lang w:val="fr-CH" w:eastAsia="en-US"/>
                <w14:ligatures w14:val="standardContextual"/>
              </w:rPr>
            </w:pPr>
            <w:r w:rsidRPr="00E42D5F">
              <w:rPr>
                <w:rFonts w:eastAsiaTheme="minorHAnsi" w:cs="Arial"/>
                <w:lang w:val="fr-CH" w:eastAsia="en-US"/>
                <w14:ligatures w14:val="standardContextual"/>
              </w:rPr>
              <w:t>La fin de la phrase ne correspond pas à l'état actuel de l'art médical, contrevient aux direct</w:t>
            </w:r>
            <w:r>
              <w:rPr>
                <w:rFonts w:eastAsiaTheme="minorHAnsi" w:cs="Arial"/>
                <w:lang w:val="fr-CH" w:eastAsia="en-US"/>
                <w14:ligatures w14:val="standardContextual"/>
              </w:rPr>
              <w:t>i</w:t>
            </w:r>
            <w:r w:rsidRPr="00E42D5F">
              <w:rPr>
                <w:rFonts w:eastAsiaTheme="minorHAnsi" w:cs="Arial"/>
                <w:lang w:val="fr-CH" w:eastAsia="en-US"/>
                <w14:ligatures w14:val="standardContextual"/>
              </w:rPr>
              <w:t>ves de</w:t>
            </w:r>
            <w:r>
              <w:rPr>
                <w:rFonts w:eastAsiaTheme="minorHAnsi" w:cs="Arial"/>
                <w:lang w:val="fr-CH" w:eastAsia="en-US"/>
                <w14:ligatures w14:val="standardContextual"/>
              </w:rPr>
              <w:t xml:space="preserve"> </w:t>
            </w:r>
            <w:r w:rsidRPr="00E42D5F">
              <w:rPr>
                <w:rFonts w:eastAsiaTheme="minorHAnsi" w:cs="Arial"/>
                <w:lang w:val="fr-CH" w:eastAsia="en-US"/>
                <w14:ligatures w14:val="standardContextual"/>
              </w:rPr>
              <w:t>l'ASSM ainsi qu'à l'esprit des disposi</w:t>
            </w:r>
            <w:r>
              <w:rPr>
                <w:rFonts w:eastAsiaTheme="minorHAnsi" w:cs="Arial"/>
                <w:lang w:val="fr-CH" w:eastAsia="en-US"/>
                <w14:ligatures w14:val="standardContextual"/>
              </w:rPr>
              <w:t>ti</w:t>
            </w:r>
            <w:r w:rsidRPr="00E42D5F">
              <w:rPr>
                <w:rFonts w:eastAsiaTheme="minorHAnsi" w:cs="Arial"/>
                <w:lang w:val="fr-CH" w:eastAsia="en-US"/>
                <w14:ligatures w14:val="standardContextual"/>
              </w:rPr>
              <w:t>ons sur la protec</w:t>
            </w:r>
            <w:r>
              <w:rPr>
                <w:rFonts w:eastAsiaTheme="minorHAnsi" w:cs="Arial"/>
                <w:lang w:val="fr-CH" w:eastAsia="en-US"/>
                <w14:ligatures w14:val="standardContextual"/>
              </w:rPr>
              <w:t>ti</w:t>
            </w:r>
            <w:r w:rsidRPr="00E42D5F">
              <w:rPr>
                <w:rFonts w:eastAsiaTheme="minorHAnsi" w:cs="Arial"/>
                <w:lang w:val="fr-CH" w:eastAsia="en-US"/>
                <w14:ligatures w14:val="standardContextual"/>
              </w:rPr>
              <w:t>on de la famille du code civil. L'informa</w:t>
            </w:r>
            <w:r>
              <w:rPr>
                <w:rFonts w:eastAsiaTheme="minorHAnsi" w:cs="Arial"/>
                <w:lang w:val="fr-CH" w:eastAsia="en-US"/>
                <w14:ligatures w14:val="standardContextual"/>
              </w:rPr>
              <w:t>ti</w:t>
            </w:r>
            <w:r w:rsidRPr="00E42D5F">
              <w:rPr>
                <w:rFonts w:eastAsiaTheme="minorHAnsi" w:cs="Arial"/>
                <w:lang w:val="fr-CH" w:eastAsia="en-US"/>
                <w14:ligatures w14:val="standardContextual"/>
              </w:rPr>
              <w:t>on doit être</w:t>
            </w:r>
            <w:r>
              <w:rPr>
                <w:rFonts w:eastAsiaTheme="minorHAnsi" w:cs="Arial"/>
                <w:lang w:val="fr-CH" w:eastAsia="en-US"/>
                <w14:ligatures w14:val="standardContextual"/>
              </w:rPr>
              <w:t xml:space="preserve"> </w:t>
            </w:r>
            <w:r w:rsidRPr="00E42D5F">
              <w:rPr>
                <w:rFonts w:eastAsiaTheme="minorHAnsi" w:cs="Arial"/>
                <w:lang w:val="fr-CH" w:eastAsia="en-US"/>
                <w14:ligatures w14:val="standardContextual"/>
              </w:rPr>
              <w:t>adaptée aux circonstances d'un cas par</w:t>
            </w:r>
            <w:r>
              <w:rPr>
                <w:rFonts w:eastAsiaTheme="minorHAnsi" w:cs="Arial"/>
                <w:lang w:val="fr-CH" w:eastAsia="en-US"/>
                <w14:ligatures w14:val="standardContextual"/>
              </w:rPr>
              <w:t>ti</w:t>
            </w:r>
            <w:r w:rsidRPr="00E42D5F">
              <w:rPr>
                <w:rFonts w:eastAsiaTheme="minorHAnsi" w:cs="Arial"/>
                <w:lang w:val="fr-CH" w:eastAsia="en-US"/>
                <w14:ligatures w14:val="standardContextual"/>
              </w:rPr>
              <w:t>culier et doit être adéquate</w:t>
            </w:r>
            <w:r>
              <w:rPr>
                <w:rFonts w:eastAsiaTheme="minorHAnsi" w:cs="Arial"/>
                <w:lang w:val="fr-CH" w:eastAsia="en-US"/>
                <w14:ligatures w14:val="standardContextual"/>
              </w:rPr>
              <w:t xml:space="preserve">, </w:t>
            </w:r>
            <w:r w:rsidRPr="00E42D5F">
              <w:rPr>
                <w:rFonts w:eastAsiaTheme="minorHAnsi" w:cs="Arial"/>
                <w:lang w:val="fr-CH" w:eastAsia="en-US"/>
                <w14:ligatures w14:val="standardContextual"/>
              </w:rPr>
              <w:t xml:space="preserve">mais il ne revient pas au corps médical de décider </w:t>
            </w:r>
            <w:proofErr w:type="gramStart"/>
            <w:r w:rsidRPr="00E42D5F">
              <w:rPr>
                <w:rFonts w:eastAsiaTheme="minorHAnsi" w:cs="Arial"/>
                <w:lang w:val="fr-CH" w:eastAsia="en-US"/>
                <w14:ligatures w14:val="standardContextual"/>
              </w:rPr>
              <w:t>quel informa</w:t>
            </w:r>
            <w:r>
              <w:rPr>
                <w:rFonts w:eastAsiaTheme="minorHAnsi" w:cs="Arial"/>
                <w:lang w:val="fr-CH" w:eastAsia="en-US"/>
                <w14:ligatures w14:val="standardContextual"/>
              </w:rPr>
              <w:t>ti</w:t>
            </w:r>
            <w:r w:rsidRPr="00E42D5F">
              <w:rPr>
                <w:rFonts w:eastAsiaTheme="minorHAnsi" w:cs="Arial"/>
                <w:lang w:val="fr-CH" w:eastAsia="en-US"/>
                <w14:ligatures w14:val="standardContextual"/>
              </w:rPr>
              <w:t>on</w:t>
            </w:r>
            <w:proofErr w:type="gramEnd"/>
            <w:r w:rsidRPr="00E42D5F">
              <w:rPr>
                <w:rFonts w:eastAsiaTheme="minorHAnsi" w:cs="Arial"/>
                <w:lang w:val="fr-CH" w:eastAsia="en-US"/>
                <w14:ligatures w14:val="standardContextual"/>
              </w:rPr>
              <w:t xml:space="preserve"> est préjudiciable ou non à un</w:t>
            </w:r>
            <w:r>
              <w:rPr>
                <w:rFonts w:eastAsiaTheme="minorHAnsi" w:cs="Arial"/>
                <w:lang w:val="fr-CH" w:eastAsia="en-US"/>
                <w14:ligatures w14:val="standardContextual"/>
              </w:rPr>
              <w:t xml:space="preserve"> </w:t>
            </w:r>
            <w:r w:rsidRPr="00E42D5F">
              <w:rPr>
                <w:rFonts w:eastAsiaTheme="minorHAnsi" w:cs="Arial"/>
                <w:lang w:val="fr-CH" w:eastAsia="en-US"/>
                <w14:ligatures w14:val="standardContextual"/>
              </w:rPr>
              <w:t>pa</w:t>
            </w:r>
            <w:r>
              <w:rPr>
                <w:rFonts w:eastAsiaTheme="minorHAnsi" w:cs="Arial"/>
                <w:lang w:val="fr-CH" w:eastAsia="en-US"/>
                <w14:ligatures w14:val="standardContextual"/>
              </w:rPr>
              <w:t>ti</w:t>
            </w:r>
            <w:r w:rsidRPr="00E42D5F">
              <w:rPr>
                <w:rFonts w:eastAsiaTheme="minorHAnsi" w:cs="Arial"/>
                <w:lang w:val="fr-CH" w:eastAsia="en-US"/>
                <w14:ligatures w14:val="standardContextual"/>
              </w:rPr>
              <w:t>ent, c'est au pa</w:t>
            </w:r>
            <w:r>
              <w:rPr>
                <w:rFonts w:eastAsiaTheme="minorHAnsi" w:cs="Arial"/>
                <w:lang w:val="fr-CH" w:eastAsia="en-US"/>
                <w14:ligatures w14:val="standardContextual"/>
              </w:rPr>
              <w:t>ti</w:t>
            </w:r>
            <w:r w:rsidRPr="00E42D5F">
              <w:rPr>
                <w:rFonts w:eastAsiaTheme="minorHAnsi" w:cs="Arial"/>
                <w:lang w:val="fr-CH" w:eastAsia="en-US"/>
                <w14:ligatures w14:val="standardContextual"/>
              </w:rPr>
              <w:t>ent, respec</w:t>
            </w:r>
            <w:r>
              <w:rPr>
                <w:rFonts w:eastAsiaTheme="minorHAnsi" w:cs="Arial"/>
                <w:lang w:val="fr-CH" w:eastAsia="en-US"/>
                <w14:ligatures w14:val="standardContextual"/>
              </w:rPr>
              <w:t>ti</w:t>
            </w:r>
            <w:r w:rsidRPr="00E42D5F">
              <w:rPr>
                <w:rFonts w:eastAsiaTheme="minorHAnsi" w:cs="Arial"/>
                <w:lang w:val="fr-CH" w:eastAsia="en-US"/>
                <w14:ligatures w14:val="standardContextual"/>
              </w:rPr>
              <w:t>vement à son représentant thérapeu</w:t>
            </w:r>
            <w:r>
              <w:rPr>
                <w:rFonts w:eastAsiaTheme="minorHAnsi" w:cs="Arial"/>
                <w:lang w:val="fr-CH" w:eastAsia="en-US"/>
                <w14:ligatures w14:val="standardContextual"/>
              </w:rPr>
              <w:t>ti</w:t>
            </w:r>
            <w:r w:rsidRPr="00E42D5F">
              <w:rPr>
                <w:rFonts w:eastAsiaTheme="minorHAnsi" w:cs="Arial"/>
                <w:lang w:val="fr-CH" w:eastAsia="en-US"/>
                <w14:ligatures w14:val="standardContextual"/>
              </w:rPr>
              <w:t>que de le décider (art. 378 CC).</w:t>
            </w:r>
          </w:p>
        </w:tc>
        <w:tc>
          <w:tcPr>
            <w:tcW w:w="7034" w:type="dxa"/>
          </w:tcPr>
          <w:p w14:paraId="6F2BEA5D" w14:textId="77777777" w:rsidR="00E42D5F" w:rsidRDefault="00E42D5F" w:rsidP="004F1A76">
            <w:pPr>
              <w:rPr>
                <w:rFonts w:cs="Arial"/>
              </w:rPr>
            </w:pPr>
          </w:p>
        </w:tc>
      </w:tr>
      <w:tr w:rsidR="00D77315" w:rsidRPr="00F9101E" w14:paraId="0BD0EBBF" w14:textId="77777777" w:rsidTr="004F1A76">
        <w:tc>
          <w:tcPr>
            <w:tcW w:w="595" w:type="dxa"/>
          </w:tcPr>
          <w:p w14:paraId="265BA7AC" w14:textId="73E74856" w:rsidR="00D77315" w:rsidRDefault="00D77315" w:rsidP="004F1A76">
            <w:r>
              <w:t>25</w:t>
            </w:r>
          </w:p>
        </w:tc>
        <w:tc>
          <w:tcPr>
            <w:tcW w:w="534" w:type="dxa"/>
          </w:tcPr>
          <w:p w14:paraId="253C3380" w14:textId="0ACEF605" w:rsidR="00D77315" w:rsidRDefault="00D77315" w:rsidP="004F1A76">
            <w:r>
              <w:t>1</w:t>
            </w:r>
          </w:p>
        </w:tc>
        <w:tc>
          <w:tcPr>
            <w:tcW w:w="5829" w:type="dxa"/>
          </w:tcPr>
          <w:p w14:paraId="7AB7ECDF" w14:textId="77777777" w:rsidR="009D16F4" w:rsidRDefault="009D16F4" w:rsidP="009D16F4">
            <w:pPr>
              <w:jc w:val="both"/>
            </w:pPr>
            <w:r>
              <w:t>« </w:t>
            </w:r>
            <w:proofErr w:type="gramStart"/>
            <w:r>
              <w:t>tolérer</w:t>
            </w:r>
            <w:proofErr w:type="gramEnd"/>
            <w:r>
              <w:t xml:space="preserve"> » ou se soumettre à de telles mesures ? Quelles prescriptions ou dispositions sont réservées ? celles de la présente ordonnance ou celles d’autres dispositions fédérales (comme par ex. la </w:t>
            </w:r>
            <w:proofErr w:type="spellStart"/>
            <w:r>
              <w:t>LEp</w:t>
            </w:r>
            <w:proofErr w:type="spellEnd"/>
            <w:r>
              <w:t>).</w:t>
            </w:r>
          </w:p>
          <w:p w14:paraId="119069F4" w14:textId="09D991B8" w:rsidR="00D77315" w:rsidRDefault="00D77315" w:rsidP="00145F8E"/>
        </w:tc>
        <w:tc>
          <w:tcPr>
            <w:tcW w:w="7034" w:type="dxa"/>
          </w:tcPr>
          <w:p w14:paraId="6C3D6ECF" w14:textId="46D98D75" w:rsidR="00D77315" w:rsidRDefault="00D77315" w:rsidP="004F1A76">
            <w:pPr>
              <w:rPr>
                <w:rFonts w:cs="Arial"/>
              </w:rPr>
            </w:pPr>
            <w:r>
              <w:rPr>
                <w:rFonts w:cs="Arial"/>
              </w:rPr>
              <w:t>Les mesures prophylactiques</w:t>
            </w:r>
            <w:r w:rsidR="00963C9D">
              <w:rPr>
                <w:rFonts w:cs="Arial"/>
              </w:rPr>
              <w:t xml:space="preserve">, diagnostiques et thérapeutiques requièrent le consentement du patient ; elles ne peuvent être prises que si ce dernier a été informé conformément </w:t>
            </w:r>
            <w:r w:rsidR="00963C9D" w:rsidRPr="00A52B55">
              <w:rPr>
                <w:rFonts w:cs="Arial"/>
                <w:color w:val="FF0000"/>
              </w:rPr>
              <w:t xml:space="preserve">à l’art. 21 et à </w:t>
            </w:r>
            <w:r w:rsidR="00963C9D">
              <w:rPr>
                <w:rFonts w:cs="Arial"/>
              </w:rPr>
              <w:t xml:space="preserve">l’art. 24. Sont réservées les prescriptions et dispositions qui prévoient l’obligation de tolérer de telles mesures. </w:t>
            </w:r>
          </w:p>
        </w:tc>
      </w:tr>
      <w:tr w:rsidR="00963C9D" w:rsidRPr="00F9101E" w14:paraId="01208E71" w14:textId="77777777" w:rsidTr="004F1A76">
        <w:tc>
          <w:tcPr>
            <w:tcW w:w="595" w:type="dxa"/>
          </w:tcPr>
          <w:p w14:paraId="5719E8AA" w14:textId="4C064A96" w:rsidR="00963C9D" w:rsidRDefault="001A1045" w:rsidP="004F1A76">
            <w:r>
              <w:t>26</w:t>
            </w:r>
          </w:p>
        </w:tc>
        <w:tc>
          <w:tcPr>
            <w:tcW w:w="534" w:type="dxa"/>
          </w:tcPr>
          <w:p w14:paraId="17FFA7BD" w14:textId="2868343C" w:rsidR="00963C9D" w:rsidRDefault="001A1045" w:rsidP="004F1A76">
            <w:r>
              <w:t>2</w:t>
            </w:r>
          </w:p>
        </w:tc>
        <w:tc>
          <w:tcPr>
            <w:tcW w:w="5829" w:type="dxa"/>
          </w:tcPr>
          <w:p w14:paraId="45D2B94E" w14:textId="6B5D9117" w:rsidR="00963C9D" w:rsidRDefault="001A1045" w:rsidP="00145F8E">
            <w:r>
              <w:t xml:space="preserve">Cet alinéa </w:t>
            </w:r>
            <w:r w:rsidR="00C530FD">
              <w:t>t</w:t>
            </w:r>
            <w:r>
              <w:t xml:space="preserve">raite de l’échange d’informations entre professionnels de la santé. Normalement, les échanges devraient systématiquement donner lieu à un accord de principe du patient qui est consigné dans son dossier. </w:t>
            </w:r>
            <w:r w:rsidR="000A0062">
              <w:t xml:space="preserve">Si le patient venait à changer d’avis, il lui incombe d’exprimer </w:t>
            </w:r>
            <w:r w:rsidR="000A0062">
              <w:lastRenderedPageBreak/>
              <w:t>clairement son opposition à tout échange d’informations le concernant.</w:t>
            </w:r>
          </w:p>
        </w:tc>
        <w:tc>
          <w:tcPr>
            <w:tcW w:w="7034" w:type="dxa"/>
          </w:tcPr>
          <w:p w14:paraId="401BAF4A" w14:textId="77777777" w:rsidR="00963C9D" w:rsidRDefault="00963C9D" w:rsidP="004F1A76">
            <w:pPr>
              <w:rPr>
                <w:rFonts w:cs="Arial"/>
              </w:rPr>
            </w:pPr>
          </w:p>
        </w:tc>
      </w:tr>
      <w:tr w:rsidR="000A0062" w:rsidRPr="00F9101E" w14:paraId="4176D9ED" w14:textId="77777777" w:rsidTr="004F1A76">
        <w:tc>
          <w:tcPr>
            <w:tcW w:w="595" w:type="dxa"/>
          </w:tcPr>
          <w:p w14:paraId="1195EE12" w14:textId="37381A4A" w:rsidR="000A0062" w:rsidRDefault="000A0062" w:rsidP="004F1A76">
            <w:r>
              <w:t>26</w:t>
            </w:r>
          </w:p>
        </w:tc>
        <w:tc>
          <w:tcPr>
            <w:tcW w:w="534" w:type="dxa"/>
          </w:tcPr>
          <w:p w14:paraId="3FDAE2C2" w14:textId="7E555289" w:rsidR="000A0062" w:rsidRDefault="000A0062" w:rsidP="004F1A76">
            <w:r>
              <w:t>3</w:t>
            </w:r>
          </w:p>
        </w:tc>
        <w:tc>
          <w:tcPr>
            <w:tcW w:w="5829" w:type="dxa"/>
          </w:tcPr>
          <w:p w14:paraId="4B3A0B7C" w14:textId="3B63BB36" w:rsidR="000A0062" w:rsidRDefault="000A0062" w:rsidP="00145F8E">
            <w:r>
              <w:t xml:space="preserve">Let. </w:t>
            </w:r>
            <w:proofErr w:type="gramStart"/>
            <w:r>
              <w:t>c</w:t>
            </w:r>
            <w:proofErr w:type="gramEnd"/>
            <w:r>
              <w:t> : la formulation de la phrase doit être revue</w:t>
            </w:r>
          </w:p>
        </w:tc>
        <w:tc>
          <w:tcPr>
            <w:tcW w:w="7034" w:type="dxa"/>
          </w:tcPr>
          <w:p w14:paraId="0CD77A2D" w14:textId="77777777" w:rsidR="000A0062" w:rsidRDefault="000A0062" w:rsidP="004F1A76">
            <w:pPr>
              <w:rPr>
                <w:rFonts w:cs="Arial"/>
              </w:rPr>
            </w:pPr>
          </w:p>
        </w:tc>
      </w:tr>
      <w:tr w:rsidR="000A0062" w:rsidRPr="00F9101E" w14:paraId="538F3AC2" w14:textId="77777777" w:rsidTr="004F1A76">
        <w:tc>
          <w:tcPr>
            <w:tcW w:w="595" w:type="dxa"/>
          </w:tcPr>
          <w:p w14:paraId="2B935771" w14:textId="52012DD5" w:rsidR="000A0062" w:rsidRDefault="000A0062" w:rsidP="004F1A76">
            <w:r>
              <w:t>27</w:t>
            </w:r>
          </w:p>
        </w:tc>
        <w:tc>
          <w:tcPr>
            <w:tcW w:w="534" w:type="dxa"/>
          </w:tcPr>
          <w:p w14:paraId="4E8E567A" w14:textId="77777777" w:rsidR="000A0062" w:rsidRDefault="000A0062" w:rsidP="004F1A76"/>
        </w:tc>
        <w:tc>
          <w:tcPr>
            <w:tcW w:w="5829" w:type="dxa"/>
          </w:tcPr>
          <w:p w14:paraId="45986AA6" w14:textId="09043F27" w:rsidR="000A0062" w:rsidRDefault="000A0062" w:rsidP="000A0062">
            <w:pPr>
              <w:jc w:val="both"/>
            </w:pPr>
            <w:r>
              <w:t>Dans le domaine civil, les autopsies médico-légales ne sont pas soumises à autorisation. Pour les autopsies médicales, les proches/familles peuvent les demander mais il ne s’agit pas forcément de représentants légaux puisque la représentation cesse au décès de la personne concernée.</w:t>
            </w:r>
          </w:p>
        </w:tc>
        <w:tc>
          <w:tcPr>
            <w:tcW w:w="7034" w:type="dxa"/>
          </w:tcPr>
          <w:p w14:paraId="03404477" w14:textId="77777777" w:rsidR="000A0062" w:rsidRDefault="000A0062" w:rsidP="004F1A76">
            <w:pPr>
              <w:rPr>
                <w:rFonts w:cs="Arial"/>
              </w:rPr>
            </w:pPr>
          </w:p>
        </w:tc>
      </w:tr>
    </w:tbl>
    <w:p w14:paraId="2A2BEB1A" w14:textId="77777777" w:rsidR="00706679" w:rsidRDefault="00706679">
      <w:pPr>
        <w:rPr>
          <w:sz w:val="22"/>
          <w:szCs w:val="22"/>
        </w:rPr>
      </w:pPr>
    </w:p>
    <w:p w14:paraId="496D02EA" w14:textId="77777777" w:rsidR="00706679" w:rsidRDefault="00706679">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564FC1" w:rsidRPr="004071FA" w14:paraId="7B77B572" w14:textId="77777777" w:rsidTr="00F939F9">
        <w:tc>
          <w:tcPr>
            <w:tcW w:w="13992" w:type="dxa"/>
            <w:gridSpan w:val="4"/>
          </w:tcPr>
          <w:p w14:paraId="75F3CB89" w14:textId="3E78DEC4" w:rsidR="00564FC1" w:rsidRPr="004071FA" w:rsidRDefault="00564FC1" w:rsidP="00F939F9">
            <w:pPr>
              <w:rPr>
                <w:b/>
                <w:bCs/>
                <w:sz w:val="22"/>
                <w:szCs w:val="22"/>
              </w:rPr>
            </w:pPr>
            <w:r w:rsidRPr="004071FA">
              <w:rPr>
                <w:b/>
                <w:bCs/>
                <w:sz w:val="22"/>
                <w:szCs w:val="22"/>
              </w:rPr>
              <w:t>Section 9     Activités en rapport avec les médicaments, les dispositifs médicaux et les stupéfiants</w:t>
            </w:r>
          </w:p>
          <w:p w14:paraId="24D43165" w14:textId="77777777" w:rsidR="00564FC1" w:rsidRPr="004071FA" w:rsidRDefault="00564FC1" w:rsidP="00F939F9">
            <w:pPr>
              <w:rPr>
                <w:b/>
                <w:bCs/>
                <w:sz w:val="22"/>
                <w:szCs w:val="22"/>
              </w:rPr>
            </w:pPr>
          </w:p>
        </w:tc>
      </w:tr>
      <w:tr w:rsidR="00564FC1" w:rsidRPr="00F9101E" w14:paraId="613BFD63" w14:textId="77777777" w:rsidTr="00F939F9">
        <w:tc>
          <w:tcPr>
            <w:tcW w:w="595" w:type="dxa"/>
          </w:tcPr>
          <w:p w14:paraId="3A78DABD" w14:textId="77777777" w:rsidR="00564FC1" w:rsidRPr="00F9101E" w:rsidRDefault="00564FC1" w:rsidP="00F939F9">
            <w:pPr>
              <w:rPr>
                <w:b/>
                <w:bCs/>
              </w:rPr>
            </w:pPr>
            <w:r w:rsidRPr="00F9101E">
              <w:rPr>
                <w:b/>
                <w:bCs/>
              </w:rPr>
              <w:t>Art.</w:t>
            </w:r>
          </w:p>
        </w:tc>
        <w:tc>
          <w:tcPr>
            <w:tcW w:w="534" w:type="dxa"/>
          </w:tcPr>
          <w:p w14:paraId="496C561B" w14:textId="77777777" w:rsidR="00564FC1" w:rsidRPr="00F9101E" w:rsidRDefault="00564FC1" w:rsidP="00F939F9">
            <w:pPr>
              <w:rPr>
                <w:b/>
                <w:bCs/>
              </w:rPr>
            </w:pPr>
            <w:r w:rsidRPr="00F9101E">
              <w:rPr>
                <w:b/>
                <w:bCs/>
              </w:rPr>
              <w:t>Al.</w:t>
            </w:r>
          </w:p>
        </w:tc>
        <w:tc>
          <w:tcPr>
            <w:tcW w:w="5829" w:type="dxa"/>
          </w:tcPr>
          <w:p w14:paraId="5C3034A8" w14:textId="77777777" w:rsidR="00564FC1" w:rsidRPr="00F9101E" w:rsidRDefault="00564FC1" w:rsidP="00F939F9">
            <w:pPr>
              <w:rPr>
                <w:b/>
                <w:bCs/>
              </w:rPr>
            </w:pPr>
            <w:r w:rsidRPr="00F9101E">
              <w:rPr>
                <w:b/>
                <w:bCs/>
              </w:rPr>
              <w:t>Commentaires</w:t>
            </w:r>
          </w:p>
        </w:tc>
        <w:tc>
          <w:tcPr>
            <w:tcW w:w="7034" w:type="dxa"/>
          </w:tcPr>
          <w:p w14:paraId="4060EB9F" w14:textId="0BF89DF4" w:rsidR="00564FC1" w:rsidRPr="00F9101E" w:rsidRDefault="003C0B31" w:rsidP="00F939F9">
            <w:pPr>
              <w:rPr>
                <w:b/>
                <w:bCs/>
              </w:rPr>
            </w:pPr>
            <w:r w:rsidRPr="003C0B31">
              <w:rPr>
                <w:b/>
                <w:bCs/>
              </w:rPr>
              <w:t>Modifications apportées à l’article</w:t>
            </w:r>
          </w:p>
        </w:tc>
      </w:tr>
      <w:tr w:rsidR="00564FC1" w:rsidRPr="00F9101E" w14:paraId="1BAB7BEA" w14:textId="77777777" w:rsidTr="00F939F9">
        <w:tc>
          <w:tcPr>
            <w:tcW w:w="595" w:type="dxa"/>
          </w:tcPr>
          <w:p w14:paraId="5574BBDF" w14:textId="6B4DED6A" w:rsidR="00564FC1" w:rsidRPr="00F9101E" w:rsidRDefault="0015068D" w:rsidP="00F939F9">
            <w:r w:rsidRPr="00F9101E">
              <w:t>28</w:t>
            </w:r>
          </w:p>
        </w:tc>
        <w:tc>
          <w:tcPr>
            <w:tcW w:w="534" w:type="dxa"/>
          </w:tcPr>
          <w:p w14:paraId="7A582BFB" w14:textId="43D0DBCC" w:rsidR="00564FC1" w:rsidRPr="00F9101E" w:rsidRDefault="00564FC1" w:rsidP="00F939F9"/>
        </w:tc>
        <w:tc>
          <w:tcPr>
            <w:tcW w:w="5829" w:type="dxa"/>
          </w:tcPr>
          <w:p w14:paraId="239C3173" w14:textId="11995EA7" w:rsidR="00564FC1" w:rsidRPr="00F9101E" w:rsidRDefault="00564FC1" w:rsidP="00F939F9"/>
        </w:tc>
        <w:tc>
          <w:tcPr>
            <w:tcW w:w="7034" w:type="dxa"/>
          </w:tcPr>
          <w:p w14:paraId="7B7A9AAF" w14:textId="77777777" w:rsidR="00564FC1" w:rsidRPr="00F9101E" w:rsidRDefault="0015068D" w:rsidP="00F939F9">
            <w:r w:rsidRPr="00F9101E">
              <w:t xml:space="preserve">Le service sanitaire compétent de l’armée désigne le personnel médical et les professionnels de la santé militaires, les autres personnes exerçant une activité au sein du système de santé militaire et les établissements médicaux militaires autorisés à se procurer les produits suivants auprès de la Pharmacie de </w:t>
            </w:r>
            <w:proofErr w:type="gramStart"/>
            <w:r w:rsidRPr="00F9101E">
              <w:t>l’armée:</w:t>
            </w:r>
            <w:proofErr w:type="gramEnd"/>
          </w:p>
          <w:p w14:paraId="0C4AE1BB" w14:textId="24A02872" w:rsidR="0015068D" w:rsidRPr="00F9101E" w:rsidRDefault="0015068D" w:rsidP="0015068D">
            <w:pPr>
              <w:pStyle w:val="Paragraphedeliste"/>
              <w:numPr>
                <w:ilvl w:val="0"/>
                <w:numId w:val="4"/>
              </w:numPr>
              <w:rPr>
                <w:rFonts w:cs="Arial"/>
              </w:rPr>
            </w:pPr>
            <w:proofErr w:type="gramStart"/>
            <w:r w:rsidRPr="00F9101E">
              <w:rPr>
                <w:rFonts w:cs="Arial"/>
              </w:rPr>
              <w:t>les</w:t>
            </w:r>
            <w:proofErr w:type="gramEnd"/>
            <w:r w:rsidRPr="00F9101E">
              <w:rPr>
                <w:rFonts w:cs="Arial"/>
              </w:rPr>
              <w:t xml:space="preserve"> médicaments au sens de l’art. 4, al. 1, let. </w:t>
            </w:r>
            <w:proofErr w:type="gramStart"/>
            <w:r w:rsidRPr="00F9101E">
              <w:rPr>
                <w:rFonts w:cs="Arial"/>
              </w:rPr>
              <w:t>a</w:t>
            </w:r>
            <w:proofErr w:type="gramEnd"/>
            <w:r w:rsidRPr="00F9101E">
              <w:rPr>
                <w:rFonts w:cs="Arial"/>
              </w:rPr>
              <w:t xml:space="preserve"> </w:t>
            </w:r>
            <w:r w:rsidRPr="00552BC3">
              <w:rPr>
                <w:rFonts w:cs="Arial"/>
                <w:color w:val="FF0000"/>
              </w:rPr>
              <w:t xml:space="preserve">à </w:t>
            </w:r>
            <w:proofErr w:type="spellStart"/>
            <w:r w:rsidRPr="00552BC3">
              <w:rPr>
                <w:rFonts w:cs="Arial"/>
                <w:color w:val="FF0000"/>
              </w:rPr>
              <w:t>a</w:t>
            </w:r>
            <w:r w:rsidRPr="00552BC3">
              <w:rPr>
                <w:rFonts w:cs="Arial"/>
                <w:color w:val="FF0000"/>
                <w:vertAlign w:val="superscript"/>
              </w:rPr>
              <w:t>decies</w:t>
            </w:r>
            <w:proofErr w:type="spellEnd"/>
            <w:r w:rsidRPr="00552BC3">
              <w:rPr>
                <w:rFonts w:cs="Arial"/>
                <w:color w:val="FF0000"/>
                <w:vertAlign w:val="superscript"/>
              </w:rPr>
              <w:t> </w:t>
            </w:r>
            <w:r w:rsidRPr="00552BC3">
              <w:rPr>
                <w:rFonts w:cs="Arial"/>
                <w:color w:val="FF0000"/>
              </w:rPr>
              <w:t>;</w:t>
            </w:r>
          </w:p>
          <w:p w14:paraId="6B81006C" w14:textId="77777777" w:rsidR="0015068D" w:rsidRPr="00F9101E" w:rsidRDefault="0015068D" w:rsidP="0015068D">
            <w:pPr>
              <w:pStyle w:val="Paragraphedeliste"/>
              <w:numPr>
                <w:ilvl w:val="0"/>
                <w:numId w:val="4"/>
              </w:numPr>
              <w:rPr>
                <w:rFonts w:cs="Arial"/>
              </w:rPr>
            </w:pPr>
            <w:proofErr w:type="gramStart"/>
            <w:r w:rsidRPr="00F9101E">
              <w:rPr>
                <w:rFonts w:cs="Arial"/>
              </w:rPr>
              <w:t>les</w:t>
            </w:r>
            <w:proofErr w:type="gramEnd"/>
            <w:r w:rsidRPr="00F9101E">
              <w:rPr>
                <w:rFonts w:cs="Arial"/>
              </w:rPr>
              <w:t xml:space="preserve"> dispositifs médicaux au sens de l’art. 4, al. 1, let. </w:t>
            </w:r>
            <w:proofErr w:type="gramStart"/>
            <w:r w:rsidRPr="00F9101E">
              <w:rPr>
                <w:rFonts w:cs="Arial"/>
              </w:rPr>
              <w:t>b</w:t>
            </w:r>
            <w:proofErr w:type="gramEnd"/>
            <w:r w:rsidRPr="00F9101E">
              <w:rPr>
                <w:rFonts w:cs="Arial"/>
              </w:rPr>
              <w:t xml:space="preserve">, </w:t>
            </w:r>
            <w:proofErr w:type="spellStart"/>
            <w:r w:rsidRPr="00F9101E">
              <w:rPr>
                <w:rFonts w:cs="Arial"/>
              </w:rPr>
              <w:t>LPTh</w:t>
            </w:r>
            <w:proofErr w:type="spellEnd"/>
            <w:r w:rsidRPr="00F9101E">
              <w:rPr>
                <w:rFonts w:cs="Arial"/>
              </w:rPr>
              <w:t> ;</w:t>
            </w:r>
          </w:p>
          <w:p w14:paraId="67C8C146" w14:textId="008F1BBC" w:rsidR="0015068D" w:rsidRPr="00F9101E" w:rsidRDefault="0015068D" w:rsidP="0015068D">
            <w:pPr>
              <w:pStyle w:val="Paragraphedeliste"/>
              <w:numPr>
                <w:ilvl w:val="0"/>
                <w:numId w:val="4"/>
              </w:numPr>
              <w:rPr>
                <w:rFonts w:cs="Arial"/>
              </w:rPr>
            </w:pPr>
            <w:proofErr w:type="gramStart"/>
            <w:r w:rsidRPr="00F9101E">
              <w:rPr>
                <w:rFonts w:cs="Arial"/>
              </w:rPr>
              <w:t>les</w:t>
            </w:r>
            <w:proofErr w:type="gramEnd"/>
            <w:r w:rsidRPr="00F9101E">
              <w:rPr>
                <w:rFonts w:cs="Arial"/>
              </w:rPr>
              <w:t xml:space="preserve"> stupéfiants au sens de l’art. 2, let. </w:t>
            </w:r>
            <w:proofErr w:type="gramStart"/>
            <w:r w:rsidR="00552BC3">
              <w:rPr>
                <w:rFonts w:cs="Arial"/>
                <w:strike/>
              </w:rPr>
              <w:t>a</w:t>
            </w:r>
            <w:r w:rsidRPr="00552BC3">
              <w:rPr>
                <w:rFonts w:cs="Arial"/>
                <w:color w:val="FF0000"/>
              </w:rPr>
              <w:t>d</w:t>
            </w:r>
            <w:proofErr w:type="gramEnd"/>
            <w:r w:rsidRPr="00F9101E">
              <w:rPr>
                <w:rFonts w:cs="Arial"/>
              </w:rPr>
              <w:t>, de la loi du 3 octobre 1951 sur les stupéfiants (</w:t>
            </w:r>
            <w:proofErr w:type="spellStart"/>
            <w:r w:rsidRPr="00F9101E">
              <w:rPr>
                <w:rFonts w:cs="Arial"/>
              </w:rPr>
              <w:t>LStup</w:t>
            </w:r>
            <w:proofErr w:type="spellEnd"/>
            <w:r w:rsidRPr="00F9101E">
              <w:rPr>
                <w:rFonts w:cs="Arial"/>
              </w:rPr>
              <w:t>), dans la mesure où ils sont utilisés comme médicaments</w:t>
            </w:r>
          </w:p>
        </w:tc>
      </w:tr>
      <w:tr w:rsidR="00564FC1" w:rsidRPr="00F9101E" w14:paraId="19682EA9" w14:textId="77777777" w:rsidTr="00F939F9">
        <w:tc>
          <w:tcPr>
            <w:tcW w:w="595" w:type="dxa"/>
          </w:tcPr>
          <w:p w14:paraId="0DDC72E7" w14:textId="65C5C3BA" w:rsidR="00564FC1" w:rsidRPr="00F9101E" w:rsidRDefault="0015068D" w:rsidP="00F939F9">
            <w:r w:rsidRPr="00F9101E">
              <w:t>29</w:t>
            </w:r>
          </w:p>
        </w:tc>
        <w:tc>
          <w:tcPr>
            <w:tcW w:w="534" w:type="dxa"/>
          </w:tcPr>
          <w:p w14:paraId="5D30CDE6" w14:textId="6EF2AA42" w:rsidR="00564FC1" w:rsidRPr="00F9101E" w:rsidRDefault="0015068D" w:rsidP="00F939F9">
            <w:r w:rsidRPr="00F9101E">
              <w:t>1</w:t>
            </w:r>
          </w:p>
        </w:tc>
        <w:tc>
          <w:tcPr>
            <w:tcW w:w="5829" w:type="dxa"/>
          </w:tcPr>
          <w:p w14:paraId="3457E36C" w14:textId="543C993D" w:rsidR="00564FC1" w:rsidRPr="00F9101E" w:rsidRDefault="003071C7" w:rsidP="00F939F9">
            <w:r w:rsidRPr="00F9101E">
              <w:t>Le</w:t>
            </w:r>
            <w:r w:rsidR="00590960" w:rsidRPr="00F9101E">
              <w:t xml:space="preserve"> terme « pharmacies d’hôpital et destinées au personnel de l’hôpital » n’est pas clair. Ce terme nécessite d’être précisé, comme suggéré dans la section 1. </w:t>
            </w:r>
          </w:p>
        </w:tc>
        <w:tc>
          <w:tcPr>
            <w:tcW w:w="7034" w:type="dxa"/>
          </w:tcPr>
          <w:p w14:paraId="2ABC6B2C" w14:textId="77777777" w:rsidR="00564FC1" w:rsidRPr="00F9101E" w:rsidRDefault="00564FC1" w:rsidP="00F939F9">
            <w:pPr>
              <w:rPr>
                <w:rFonts w:cs="Arial"/>
              </w:rPr>
            </w:pPr>
          </w:p>
        </w:tc>
      </w:tr>
      <w:tr w:rsidR="00564FC1" w:rsidRPr="00F9101E" w14:paraId="7D8EF00F" w14:textId="77777777" w:rsidTr="00F939F9">
        <w:tc>
          <w:tcPr>
            <w:tcW w:w="595" w:type="dxa"/>
          </w:tcPr>
          <w:p w14:paraId="69DAE7CF" w14:textId="3DA61468" w:rsidR="00564FC1" w:rsidRPr="00F9101E" w:rsidRDefault="00590960" w:rsidP="00F939F9">
            <w:r w:rsidRPr="00F9101E">
              <w:t>30</w:t>
            </w:r>
          </w:p>
        </w:tc>
        <w:tc>
          <w:tcPr>
            <w:tcW w:w="534" w:type="dxa"/>
          </w:tcPr>
          <w:p w14:paraId="0DFBD6B4" w14:textId="00A837C9" w:rsidR="00564FC1" w:rsidRPr="00F9101E" w:rsidRDefault="00590960" w:rsidP="00F939F9">
            <w:r w:rsidRPr="00F9101E">
              <w:t>3</w:t>
            </w:r>
          </w:p>
        </w:tc>
        <w:tc>
          <w:tcPr>
            <w:tcW w:w="5829" w:type="dxa"/>
          </w:tcPr>
          <w:p w14:paraId="11687D74" w14:textId="4E3D2872" w:rsidR="00564FC1" w:rsidRPr="00F9101E" w:rsidRDefault="00564FC1" w:rsidP="00F939F9"/>
        </w:tc>
        <w:tc>
          <w:tcPr>
            <w:tcW w:w="7034" w:type="dxa"/>
          </w:tcPr>
          <w:p w14:paraId="70A1783F" w14:textId="171C3AB5" w:rsidR="00564FC1" w:rsidRPr="00F9101E" w:rsidRDefault="00590960" w:rsidP="00F939F9">
            <w:pPr>
              <w:rPr>
                <w:rFonts w:cs="Arial"/>
              </w:rPr>
            </w:pPr>
            <w:r w:rsidRPr="00F9101E">
              <w:rPr>
                <w:rFonts w:cs="Arial"/>
              </w:rPr>
              <w:t>Les ordonnances</w:t>
            </w:r>
            <w:r w:rsidR="00552BC3">
              <w:rPr>
                <w:rFonts w:cs="Arial"/>
              </w:rPr>
              <w:t xml:space="preserve"> </w:t>
            </w:r>
            <w:r w:rsidR="00552BC3" w:rsidRPr="00552BC3">
              <w:rPr>
                <w:rFonts w:cs="Arial"/>
                <w:strike/>
              </w:rPr>
              <w:t>permanentes</w:t>
            </w:r>
            <w:r w:rsidRPr="00552BC3">
              <w:rPr>
                <w:rFonts w:cs="Arial"/>
              </w:rPr>
              <w:t xml:space="preserve"> </w:t>
            </w:r>
            <w:r w:rsidRPr="00552BC3">
              <w:rPr>
                <w:rFonts w:cs="Arial"/>
                <w:color w:val="FF0000"/>
              </w:rPr>
              <w:t>renouvelables</w:t>
            </w:r>
            <w:r w:rsidR="00552BC3">
              <w:rPr>
                <w:rFonts w:cs="Arial"/>
              </w:rPr>
              <w:t xml:space="preserve"> </w:t>
            </w:r>
            <w:r w:rsidRPr="00F9101E">
              <w:rPr>
                <w:rFonts w:cs="Arial"/>
              </w:rPr>
              <w:t xml:space="preserve">de médicaments à usage humain ne contenant pas de substances soumises à contrôle sont valables un an. </w:t>
            </w:r>
          </w:p>
        </w:tc>
      </w:tr>
      <w:tr w:rsidR="00564FC1" w:rsidRPr="00F9101E" w14:paraId="146FA5E8" w14:textId="77777777" w:rsidTr="00F939F9">
        <w:tc>
          <w:tcPr>
            <w:tcW w:w="595" w:type="dxa"/>
          </w:tcPr>
          <w:p w14:paraId="64570328" w14:textId="77777777" w:rsidR="00564FC1" w:rsidRPr="00F9101E" w:rsidRDefault="00564FC1" w:rsidP="00F939F9"/>
        </w:tc>
        <w:tc>
          <w:tcPr>
            <w:tcW w:w="534" w:type="dxa"/>
          </w:tcPr>
          <w:p w14:paraId="79211043" w14:textId="77777777" w:rsidR="00564FC1" w:rsidRPr="00F9101E" w:rsidRDefault="00564FC1" w:rsidP="00F939F9"/>
        </w:tc>
        <w:tc>
          <w:tcPr>
            <w:tcW w:w="5829" w:type="dxa"/>
          </w:tcPr>
          <w:p w14:paraId="78F2EAFE" w14:textId="5B521787" w:rsidR="00564FC1" w:rsidRPr="00F9101E" w:rsidRDefault="00590960" w:rsidP="00F939F9">
            <w:r w:rsidRPr="00F9101E">
              <w:t>Nous suggérons l’ajout d’un article « Remise » à la suite de l’article 30</w:t>
            </w:r>
            <w:r w:rsidR="00CA194F" w:rsidRPr="00F9101E">
              <w:t>,</w:t>
            </w:r>
            <w:r w:rsidR="00A043A6" w:rsidRPr="00F9101E">
              <w:t xml:space="preserve"> car </w:t>
            </w:r>
            <w:r w:rsidR="00CA194F" w:rsidRPr="00F9101E">
              <w:t>la réglementation de cette procédure</w:t>
            </w:r>
            <w:r w:rsidR="00A043A6" w:rsidRPr="00F9101E">
              <w:t xml:space="preserve"> n’est pas </w:t>
            </w:r>
            <w:r w:rsidR="00CA194F" w:rsidRPr="00F9101E">
              <w:t xml:space="preserve">précisée </w:t>
            </w:r>
            <w:r w:rsidR="00A043A6" w:rsidRPr="00F9101E">
              <w:t>dans l’ordonnance</w:t>
            </w:r>
            <w:r w:rsidR="00CA194F" w:rsidRPr="00F9101E">
              <w:t xml:space="preserve"> actuelle</w:t>
            </w:r>
            <w:r w:rsidR="00A043A6" w:rsidRPr="00F9101E">
              <w:t xml:space="preserve">. </w:t>
            </w:r>
          </w:p>
          <w:p w14:paraId="78E1D78E" w14:textId="77777777" w:rsidR="00CA194F" w:rsidRPr="00F9101E" w:rsidRDefault="00A043A6" w:rsidP="00F939F9">
            <w:r w:rsidRPr="00F9101E">
              <w:t xml:space="preserve">Cet article devrait </w:t>
            </w:r>
            <w:r w:rsidR="00CA194F" w:rsidRPr="00F9101E">
              <w:t xml:space="preserve">clarifier les modalités de remise des médicaments, y compris les points de remise et les personnes habilitées à remettre des médicaments, qu’ils soient soumis à ordonnance ou non. </w:t>
            </w:r>
          </w:p>
          <w:p w14:paraId="0479DF6B" w14:textId="5B90513E" w:rsidR="00493449" w:rsidRPr="00F9101E" w:rsidRDefault="00CA194F" w:rsidP="00F939F9">
            <w:r w:rsidRPr="00F9101E">
              <w:lastRenderedPageBreak/>
              <w:t>Ces conditions de remise doivent être détaillées dans l’article, conformément aux dispositions applicables de la Loi sur les produits thérapeutiques (</w:t>
            </w:r>
            <w:proofErr w:type="spellStart"/>
            <w:r w:rsidRPr="00F9101E">
              <w:t>LPTh</w:t>
            </w:r>
            <w:proofErr w:type="spellEnd"/>
            <w:r w:rsidRPr="00F9101E">
              <w:t xml:space="preserve">). </w:t>
            </w:r>
            <w:r w:rsidR="00A043A6" w:rsidRPr="00F9101E">
              <w:t xml:space="preserve"> </w:t>
            </w:r>
          </w:p>
        </w:tc>
        <w:tc>
          <w:tcPr>
            <w:tcW w:w="7034" w:type="dxa"/>
          </w:tcPr>
          <w:p w14:paraId="527CAFC3" w14:textId="77777777" w:rsidR="00564FC1" w:rsidRPr="00F9101E" w:rsidRDefault="00564FC1" w:rsidP="00F939F9">
            <w:pPr>
              <w:rPr>
                <w:rFonts w:cs="Arial"/>
              </w:rPr>
            </w:pPr>
          </w:p>
        </w:tc>
      </w:tr>
      <w:tr w:rsidR="00564FC1" w14:paraId="7BEAD8A6" w14:textId="77777777" w:rsidTr="00F939F9">
        <w:tc>
          <w:tcPr>
            <w:tcW w:w="595" w:type="dxa"/>
          </w:tcPr>
          <w:p w14:paraId="266B49A9" w14:textId="18459561" w:rsidR="00564FC1" w:rsidRDefault="00071370" w:rsidP="00F939F9">
            <w:pPr>
              <w:rPr>
                <w:sz w:val="22"/>
                <w:szCs w:val="22"/>
              </w:rPr>
            </w:pPr>
            <w:r>
              <w:rPr>
                <w:sz w:val="22"/>
                <w:szCs w:val="22"/>
              </w:rPr>
              <w:t>31</w:t>
            </w:r>
          </w:p>
        </w:tc>
        <w:tc>
          <w:tcPr>
            <w:tcW w:w="534" w:type="dxa"/>
          </w:tcPr>
          <w:p w14:paraId="7CF59562" w14:textId="40807431" w:rsidR="00564FC1" w:rsidRDefault="00071370" w:rsidP="00F939F9">
            <w:pPr>
              <w:rPr>
                <w:sz w:val="22"/>
                <w:szCs w:val="22"/>
              </w:rPr>
            </w:pPr>
            <w:r>
              <w:rPr>
                <w:sz w:val="22"/>
                <w:szCs w:val="22"/>
              </w:rPr>
              <w:t>2</w:t>
            </w:r>
          </w:p>
        </w:tc>
        <w:tc>
          <w:tcPr>
            <w:tcW w:w="5829" w:type="dxa"/>
          </w:tcPr>
          <w:p w14:paraId="52AA46EA" w14:textId="77777777" w:rsidR="00076BB7" w:rsidRPr="00A32A2A" w:rsidRDefault="00071370" w:rsidP="00F939F9">
            <w:r w:rsidRPr="00A32A2A">
              <w:t>Le terme « point de remise » doit être clarifié.</w:t>
            </w:r>
          </w:p>
          <w:p w14:paraId="7470CB42" w14:textId="69298185" w:rsidR="001A0CCF" w:rsidRDefault="001A0CCF" w:rsidP="00F939F9">
            <w:pPr>
              <w:rPr>
                <w:sz w:val="22"/>
                <w:szCs w:val="22"/>
              </w:rPr>
            </w:pPr>
          </w:p>
        </w:tc>
        <w:tc>
          <w:tcPr>
            <w:tcW w:w="7034" w:type="dxa"/>
          </w:tcPr>
          <w:p w14:paraId="26328A28" w14:textId="77777777" w:rsidR="00564FC1" w:rsidRPr="00A23EB9" w:rsidRDefault="00564FC1" w:rsidP="00F939F9">
            <w:pPr>
              <w:rPr>
                <w:rFonts w:cs="Arial"/>
              </w:rPr>
            </w:pPr>
          </w:p>
        </w:tc>
      </w:tr>
      <w:tr w:rsidR="00564FC1" w14:paraId="3F78B249" w14:textId="77777777" w:rsidTr="00F939F9">
        <w:tc>
          <w:tcPr>
            <w:tcW w:w="595" w:type="dxa"/>
          </w:tcPr>
          <w:p w14:paraId="0A8C8F16" w14:textId="6EE8E245" w:rsidR="00564FC1" w:rsidRPr="00F9101E" w:rsidRDefault="00071370" w:rsidP="00F939F9">
            <w:r w:rsidRPr="00F9101E">
              <w:t>31</w:t>
            </w:r>
          </w:p>
        </w:tc>
        <w:tc>
          <w:tcPr>
            <w:tcW w:w="534" w:type="dxa"/>
          </w:tcPr>
          <w:p w14:paraId="4D59F64A" w14:textId="773D58FD" w:rsidR="00564FC1" w:rsidRPr="00F9101E" w:rsidRDefault="00071370" w:rsidP="00F939F9">
            <w:r w:rsidRPr="00F9101E">
              <w:t>3</w:t>
            </w:r>
          </w:p>
        </w:tc>
        <w:tc>
          <w:tcPr>
            <w:tcW w:w="5829" w:type="dxa"/>
          </w:tcPr>
          <w:p w14:paraId="09D59BFE" w14:textId="73333E8C" w:rsidR="00071370" w:rsidRPr="00F9101E" w:rsidRDefault="00071370" w:rsidP="00F939F9">
            <w:r w:rsidRPr="00F9101E">
              <w:t>Comment est-il prévu de vérifier si l’ordonnance a été établie par un membre du personnel médical militaire habilité à prescrire ?</w:t>
            </w:r>
          </w:p>
          <w:p w14:paraId="0F4A50AC" w14:textId="51FB28CA" w:rsidR="00564FC1" w:rsidRPr="00F9101E" w:rsidRDefault="00071370" w:rsidP="00F939F9">
            <w:r w:rsidRPr="00F9101E">
              <w:t>Nous suggérons qu’aucune ordonnance militaire ne soit traitée dans un point de remise civil.</w:t>
            </w:r>
          </w:p>
        </w:tc>
        <w:tc>
          <w:tcPr>
            <w:tcW w:w="7034" w:type="dxa"/>
          </w:tcPr>
          <w:p w14:paraId="31059D85" w14:textId="77777777" w:rsidR="00564FC1" w:rsidRPr="00F9101E" w:rsidRDefault="00564FC1" w:rsidP="00F939F9">
            <w:pPr>
              <w:rPr>
                <w:rFonts w:cs="Arial"/>
              </w:rPr>
            </w:pPr>
          </w:p>
        </w:tc>
      </w:tr>
      <w:tr w:rsidR="00493449" w14:paraId="5DAF7436" w14:textId="77777777" w:rsidTr="00F939F9">
        <w:tc>
          <w:tcPr>
            <w:tcW w:w="595" w:type="dxa"/>
          </w:tcPr>
          <w:p w14:paraId="4831C1AA" w14:textId="30C65C99" w:rsidR="00493449" w:rsidRPr="00F9101E" w:rsidRDefault="00493449" w:rsidP="00F939F9">
            <w:r w:rsidRPr="00F9101E">
              <w:t>32</w:t>
            </w:r>
          </w:p>
        </w:tc>
        <w:tc>
          <w:tcPr>
            <w:tcW w:w="534" w:type="dxa"/>
          </w:tcPr>
          <w:p w14:paraId="37DF8175" w14:textId="77777777" w:rsidR="00493449" w:rsidRPr="00F9101E" w:rsidRDefault="00493449" w:rsidP="00F939F9"/>
        </w:tc>
        <w:tc>
          <w:tcPr>
            <w:tcW w:w="5829" w:type="dxa"/>
          </w:tcPr>
          <w:p w14:paraId="14763229" w14:textId="33DB808F" w:rsidR="00493449" w:rsidRPr="00F9101E" w:rsidRDefault="00493449" w:rsidP="00F939F9">
            <w:r w:rsidRPr="00F9101E">
              <w:t>Nous suggérons de supprimer cet article car la législation fédérale</w:t>
            </w:r>
            <w:r w:rsidR="009F7B25" w:rsidRPr="00F9101E">
              <w:t xml:space="preserve"> actuelle couvre déjà l’ensemble des aspects concernés. Cette notion pourrait être intégrée dans l’article</w:t>
            </w:r>
            <w:proofErr w:type="gramStart"/>
            <w:r w:rsidR="009F7B25" w:rsidRPr="00F9101E">
              <w:t xml:space="preserve"> «Remise</w:t>
            </w:r>
            <w:proofErr w:type="gramEnd"/>
            <w:r w:rsidRPr="00F9101E">
              <w:t>»</w:t>
            </w:r>
            <w:r w:rsidR="009F7B25" w:rsidRPr="00F9101E">
              <w:t>,</w:t>
            </w:r>
            <w:r w:rsidRPr="00F9101E">
              <w:t xml:space="preserve"> sous forme d’un alinéa</w:t>
            </w:r>
            <w:r w:rsidR="009F7B25" w:rsidRPr="00F9101E">
              <w:t xml:space="preserve"> spécifique faisant référence à la législation en vigueur</w:t>
            </w:r>
            <w:r w:rsidRPr="00F9101E">
              <w:t xml:space="preserve">. </w:t>
            </w:r>
          </w:p>
        </w:tc>
        <w:tc>
          <w:tcPr>
            <w:tcW w:w="7034" w:type="dxa"/>
          </w:tcPr>
          <w:p w14:paraId="156EFB68" w14:textId="77777777" w:rsidR="00493449" w:rsidRPr="00F9101E" w:rsidRDefault="00493449" w:rsidP="00F939F9">
            <w:pPr>
              <w:rPr>
                <w:rFonts w:cs="Arial"/>
              </w:rPr>
            </w:pPr>
          </w:p>
        </w:tc>
      </w:tr>
      <w:tr w:rsidR="00873E31" w14:paraId="3ACF24E5" w14:textId="77777777" w:rsidTr="00F939F9">
        <w:tc>
          <w:tcPr>
            <w:tcW w:w="595" w:type="dxa"/>
          </w:tcPr>
          <w:p w14:paraId="62953C9A" w14:textId="714B6D44" w:rsidR="00873E31" w:rsidRPr="00F9101E" w:rsidRDefault="00873E31" w:rsidP="00F939F9">
            <w:r w:rsidRPr="00F9101E">
              <w:t>34</w:t>
            </w:r>
          </w:p>
        </w:tc>
        <w:tc>
          <w:tcPr>
            <w:tcW w:w="534" w:type="dxa"/>
          </w:tcPr>
          <w:p w14:paraId="1242BC69" w14:textId="282CF85B" w:rsidR="00873E31" w:rsidRPr="00F9101E" w:rsidRDefault="00873E31" w:rsidP="00F939F9"/>
        </w:tc>
        <w:tc>
          <w:tcPr>
            <w:tcW w:w="5829" w:type="dxa"/>
          </w:tcPr>
          <w:p w14:paraId="2542CCA2" w14:textId="3D0986F6" w:rsidR="00873E31" w:rsidRPr="00F9101E" w:rsidRDefault="005F14E0" w:rsidP="00F939F9">
            <w:r w:rsidRPr="00F9101E">
              <w:t xml:space="preserve">Il convient de différencier les documents concernant les médicaments, qui doivent être conservés pendant 10 ans, des documents du dossier pharmaceutique du patient, qui doivent être conservés durant 20 ans. </w:t>
            </w:r>
          </w:p>
        </w:tc>
        <w:tc>
          <w:tcPr>
            <w:tcW w:w="7034" w:type="dxa"/>
          </w:tcPr>
          <w:p w14:paraId="054881EA" w14:textId="6F471E87" w:rsidR="00873E31" w:rsidRPr="00F9101E" w:rsidRDefault="005F14E0" w:rsidP="00F939F9">
            <w:pPr>
              <w:rPr>
                <w:rFonts w:cs="Arial"/>
              </w:rPr>
            </w:pPr>
            <w:r w:rsidRPr="00F9101E">
              <w:rPr>
                <w:rFonts w:cs="Arial"/>
                <w:vertAlign w:val="superscript"/>
              </w:rPr>
              <w:t>1</w:t>
            </w:r>
            <w:r w:rsidRPr="00F9101E">
              <w:rPr>
                <w:rFonts w:cs="Arial"/>
              </w:rPr>
              <w:t>Les documents qui concernent les médicaments doivent être conservés pendant dix ans. Tous les postes des factures doivent être entièrement visibles.</w:t>
            </w:r>
          </w:p>
          <w:p w14:paraId="5F8B8F8F" w14:textId="2D2DAAC8" w:rsidR="005F14E0" w:rsidRPr="00A341F3" w:rsidRDefault="005F14E0" w:rsidP="00F939F9">
            <w:pPr>
              <w:rPr>
                <w:rFonts w:cs="Arial"/>
                <w:color w:val="FF0000"/>
              </w:rPr>
            </w:pPr>
            <w:r w:rsidRPr="00A341F3">
              <w:rPr>
                <w:rFonts w:cs="Arial"/>
                <w:color w:val="FF0000"/>
                <w:vertAlign w:val="superscript"/>
              </w:rPr>
              <w:t>2</w:t>
            </w:r>
            <w:r w:rsidRPr="00A341F3">
              <w:rPr>
                <w:rFonts w:cs="Arial"/>
                <w:color w:val="FF0000"/>
              </w:rPr>
              <w:t>Les documents du dossier pharmaceutique du patient doivent être conservés durant 20 ans.</w:t>
            </w:r>
          </w:p>
          <w:p w14:paraId="0EB11714" w14:textId="1B360A10" w:rsidR="005F14E0" w:rsidRPr="00F9101E" w:rsidRDefault="005F14E0" w:rsidP="00F939F9">
            <w:pPr>
              <w:rPr>
                <w:rFonts w:cs="Arial"/>
              </w:rPr>
            </w:pPr>
            <w:r w:rsidRPr="00F9101E">
              <w:rPr>
                <w:rFonts w:cs="Arial"/>
                <w:vertAlign w:val="superscript"/>
              </w:rPr>
              <w:t>3</w:t>
            </w:r>
            <w:r w:rsidRPr="00F9101E">
              <w:rPr>
                <w:rFonts w:cs="Arial"/>
              </w:rPr>
              <w:t xml:space="preserve">Si </w:t>
            </w:r>
            <w:proofErr w:type="gramStart"/>
            <w:r w:rsidRPr="00F9101E">
              <w:rPr>
                <w:rFonts w:cs="Arial"/>
              </w:rPr>
              <w:t>les document</w:t>
            </w:r>
            <w:proofErr w:type="gramEnd"/>
            <w:r w:rsidRPr="00F9101E">
              <w:rPr>
                <w:rFonts w:cs="Arial"/>
              </w:rPr>
              <w:t xml:space="preserve"> sont conservés exclusivement sous forme électronique, les entrées doivent être datées et enregistrées de manière à ce qu’elles </w:t>
            </w:r>
            <w:r w:rsidR="00D13191" w:rsidRPr="00F9101E">
              <w:rPr>
                <w:rFonts w:cs="Arial"/>
              </w:rPr>
              <w:t>ne</w:t>
            </w:r>
            <w:r w:rsidRPr="00F9101E">
              <w:rPr>
                <w:rFonts w:cs="Arial"/>
              </w:rPr>
              <w:t xml:space="preserve"> puissent pas être modif</w:t>
            </w:r>
            <w:r w:rsidR="00D13191" w:rsidRPr="00F9101E">
              <w:rPr>
                <w:rFonts w:cs="Arial"/>
              </w:rPr>
              <w:t>i</w:t>
            </w:r>
            <w:r w:rsidRPr="00F9101E">
              <w:rPr>
                <w:rFonts w:cs="Arial"/>
              </w:rPr>
              <w:t>ées.</w:t>
            </w:r>
          </w:p>
        </w:tc>
      </w:tr>
      <w:tr w:rsidR="00E52BA0" w14:paraId="24F39DAC" w14:textId="77777777" w:rsidTr="00F939F9">
        <w:tc>
          <w:tcPr>
            <w:tcW w:w="595" w:type="dxa"/>
          </w:tcPr>
          <w:p w14:paraId="65D7368F" w14:textId="200430E4" w:rsidR="00E52BA0" w:rsidRPr="00F9101E" w:rsidRDefault="00E52BA0" w:rsidP="00E52BA0">
            <w:r w:rsidRPr="00F9101E">
              <w:t>35</w:t>
            </w:r>
          </w:p>
        </w:tc>
        <w:tc>
          <w:tcPr>
            <w:tcW w:w="534" w:type="dxa"/>
          </w:tcPr>
          <w:p w14:paraId="0C54F96C" w14:textId="77777777" w:rsidR="00E52BA0" w:rsidRPr="00F9101E" w:rsidRDefault="00E52BA0" w:rsidP="00E52BA0"/>
        </w:tc>
        <w:tc>
          <w:tcPr>
            <w:tcW w:w="5829" w:type="dxa"/>
          </w:tcPr>
          <w:p w14:paraId="32F1662C" w14:textId="30741AB1" w:rsidR="00E52BA0" w:rsidRPr="00F9101E" w:rsidRDefault="00E52BA0" w:rsidP="00E52BA0">
            <w:r w:rsidRPr="00F9101E">
              <w:t xml:space="preserve">Le terme « pharmacies d’hôpital et destinées au personnel de l’hôpital » n’est pas clair. Ce terme nécessite d’être précisé, comme suggéré dans la section 1. </w:t>
            </w:r>
          </w:p>
        </w:tc>
        <w:tc>
          <w:tcPr>
            <w:tcW w:w="7034" w:type="dxa"/>
          </w:tcPr>
          <w:p w14:paraId="71E979D4" w14:textId="77777777" w:rsidR="00E52BA0" w:rsidRPr="00F9101E" w:rsidRDefault="00E52BA0" w:rsidP="00E52BA0">
            <w:pPr>
              <w:rPr>
                <w:rFonts w:cs="Arial"/>
                <w:vertAlign w:val="superscript"/>
              </w:rPr>
            </w:pPr>
          </w:p>
        </w:tc>
      </w:tr>
      <w:tr w:rsidR="00E52BA0" w14:paraId="23CECB9B" w14:textId="77777777" w:rsidTr="00F939F9">
        <w:tc>
          <w:tcPr>
            <w:tcW w:w="595" w:type="dxa"/>
          </w:tcPr>
          <w:p w14:paraId="4D9CF114" w14:textId="0B0FA7C8" w:rsidR="00E52BA0" w:rsidRPr="00F9101E" w:rsidRDefault="00E52BA0" w:rsidP="00E52BA0">
            <w:r w:rsidRPr="00F9101E">
              <w:t>36</w:t>
            </w:r>
          </w:p>
        </w:tc>
        <w:tc>
          <w:tcPr>
            <w:tcW w:w="534" w:type="dxa"/>
          </w:tcPr>
          <w:p w14:paraId="18D957DF" w14:textId="49973231" w:rsidR="00E52BA0" w:rsidRPr="00F9101E" w:rsidRDefault="008B49F6" w:rsidP="00E52BA0">
            <w:r w:rsidRPr="00F9101E">
              <w:t>1</w:t>
            </w:r>
          </w:p>
        </w:tc>
        <w:tc>
          <w:tcPr>
            <w:tcW w:w="5829" w:type="dxa"/>
          </w:tcPr>
          <w:p w14:paraId="650CC40D" w14:textId="076E936E" w:rsidR="00E52BA0" w:rsidRPr="00F9101E" w:rsidRDefault="00E52BA0" w:rsidP="00E52BA0">
            <w:r w:rsidRPr="00F9101E">
              <w:t xml:space="preserve">La liste des vaccins autorisés en pharmacie varie selon les cantons. Nous suggérons de ne pas établir de liste spécifique, mais de renvoyer au Plan de vaccination suisse comme référence des vaccinations autorisées pour les pharmaciens.  </w:t>
            </w:r>
          </w:p>
        </w:tc>
        <w:tc>
          <w:tcPr>
            <w:tcW w:w="7034" w:type="dxa"/>
          </w:tcPr>
          <w:p w14:paraId="43265890" w14:textId="6B29F0E9" w:rsidR="00FD7DA1" w:rsidRPr="00F9101E" w:rsidRDefault="00FD7DA1" w:rsidP="00E52BA0">
            <w:pPr>
              <w:rPr>
                <w:rFonts w:cs="Arial"/>
              </w:rPr>
            </w:pPr>
            <w:r w:rsidRPr="00F9101E">
              <w:rPr>
                <w:rFonts w:cs="Arial"/>
              </w:rPr>
              <w:t>Les pharmaciens sont autorisés à administrer des vaccins, sans ordonnance médicale et selon le Plan de vaccination suisse, sur des personnes âgées de 16 ans révolus et pour lesquelles la vaccination ne présente pas de risques tels que ceux liés à une grossesse, une immunodéficience ou une maladie auto-immune</w:t>
            </w:r>
            <w:r w:rsidR="00A341F3" w:rsidRPr="00A341F3">
              <w:rPr>
                <w:rFonts w:cs="Arial"/>
                <w:strike/>
              </w:rPr>
              <w:t>, notamment :</w:t>
            </w:r>
            <w:r w:rsidRPr="00F9101E">
              <w:rPr>
                <w:rFonts w:cs="Arial"/>
              </w:rPr>
              <w:t xml:space="preserve"> </w:t>
            </w:r>
          </w:p>
          <w:p w14:paraId="4DA625D8" w14:textId="457B0A48" w:rsidR="00FD7DA1" w:rsidRPr="00A341F3" w:rsidRDefault="00A341F3" w:rsidP="00FD7DA1">
            <w:pPr>
              <w:pStyle w:val="Paragraphedeliste"/>
              <w:numPr>
                <w:ilvl w:val="0"/>
                <w:numId w:val="5"/>
              </w:numPr>
              <w:rPr>
                <w:rFonts w:cs="Arial"/>
                <w:strike/>
              </w:rPr>
            </w:pPr>
            <w:r w:rsidRPr="00A341F3">
              <w:rPr>
                <w:rFonts w:cs="Arial"/>
                <w:strike/>
              </w:rPr>
              <w:t>Les vaccins contre la grippe ;</w:t>
            </w:r>
          </w:p>
          <w:p w14:paraId="4CCD5245" w14:textId="40A9FFE9" w:rsidR="00A341F3" w:rsidRPr="00A341F3" w:rsidRDefault="00A341F3" w:rsidP="00FD7DA1">
            <w:pPr>
              <w:pStyle w:val="Paragraphedeliste"/>
              <w:numPr>
                <w:ilvl w:val="0"/>
                <w:numId w:val="5"/>
              </w:numPr>
              <w:rPr>
                <w:rFonts w:cs="Arial"/>
                <w:strike/>
              </w:rPr>
            </w:pPr>
            <w:r w:rsidRPr="00A341F3">
              <w:rPr>
                <w:rFonts w:cs="Arial"/>
                <w:strike/>
              </w:rPr>
              <w:t>Les vaccins contre la diphtérie, le tétanos, la coqueluche et la polio ;</w:t>
            </w:r>
          </w:p>
          <w:p w14:paraId="1C087DCE" w14:textId="49DCFBF9" w:rsidR="00A341F3" w:rsidRPr="00A341F3" w:rsidRDefault="00A341F3" w:rsidP="00FD7DA1">
            <w:pPr>
              <w:pStyle w:val="Paragraphedeliste"/>
              <w:numPr>
                <w:ilvl w:val="0"/>
                <w:numId w:val="5"/>
              </w:numPr>
              <w:rPr>
                <w:rFonts w:cs="Arial"/>
                <w:strike/>
              </w:rPr>
            </w:pPr>
            <w:r w:rsidRPr="00A341F3">
              <w:rPr>
                <w:rFonts w:cs="Arial"/>
                <w:strike/>
              </w:rPr>
              <w:t xml:space="preserve">Les vaccins contre la méningo-encéphalite </w:t>
            </w:r>
            <w:proofErr w:type="spellStart"/>
            <w:r w:rsidRPr="00A341F3">
              <w:rPr>
                <w:rFonts w:cs="Arial"/>
                <w:strike/>
              </w:rPr>
              <w:t>verno</w:t>
            </w:r>
            <w:proofErr w:type="spellEnd"/>
            <w:r w:rsidRPr="00A341F3">
              <w:rPr>
                <w:rFonts w:cs="Arial"/>
                <w:strike/>
              </w:rPr>
              <w:t>-estivale (FSME) ;</w:t>
            </w:r>
          </w:p>
          <w:p w14:paraId="560D3969" w14:textId="6081B8B6" w:rsidR="00A341F3" w:rsidRPr="00A341F3" w:rsidRDefault="00A341F3" w:rsidP="00FD7DA1">
            <w:pPr>
              <w:pStyle w:val="Paragraphedeliste"/>
              <w:numPr>
                <w:ilvl w:val="0"/>
                <w:numId w:val="5"/>
              </w:numPr>
              <w:rPr>
                <w:rFonts w:cs="Arial"/>
                <w:strike/>
              </w:rPr>
            </w:pPr>
            <w:r w:rsidRPr="00A341F3">
              <w:rPr>
                <w:rFonts w:cs="Arial"/>
                <w:strike/>
              </w:rPr>
              <w:t xml:space="preserve">Les vaccins contre l’hépatite A, l’hépatite B et les hépatites A et B ; </w:t>
            </w:r>
          </w:p>
          <w:p w14:paraId="43773C7D" w14:textId="61B5A6DC" w:rsidR="00A341F3" w:rsidRPr="00A341F3" w:rsidRDefault="00A341F3" w:rsidP="00FD7DA1">
            <w:pPr>
              <w:pStyle w:val="Paragraphedeliste"/>
              <w:numPr>
                <w:ilvl w:val="0"/>
                <w:numId w:val="5"/>
              </w:numPr>
              <w:rPr>
                <w:rFonts w:cs="Arial"/>
                <w:strike/>
              </w:rPr>
            </w:pPr>
            <w:r w:rsidRPr="00A341F3">
              <w:rPr>
                <w:rFonts w:cs="Arial"/>
                <w:strike/>
              </w:rPr>
              <w:t>Les vaccins contre le COVID-19.</w:t>
            </w:r>
          </w:p>
          <w:p w14:paraId="35CA0FD9" w14:textId="046FD341" w:rsidR="00076BB7" w:rsidRPr="00F9101E" w:rsidRDefault="00076BB7" w:rsidP="00076BB7">
            <w:pPr>
              <w:pStyle w:val="Paragraphedeliste"/>
              <w:rPr>
                <w:rFonts w:cs="Arial"/>
              </w:rPr>
            </w:pPr>
          </w:p>
        </w:tc>
      </w:tr>
      <w:tr w:rsidR="00363AAC" w14:paraId="56B02B7B" w14:textId="77777777" w:rsidTr="00F939F9">
        <w:tc>
          <w:tcPr>
            <w:tcW w:w="595" w:type="dxa"/>
          </w:tcPr>
          <w:p w14:paraId="52098233" w14:textId="51723801" w:rsidR="00363AAC" w:rsidRPr="00F9101E" w:rsidRDefault="00363AAC" w:rsidP="00E52BA0">
            <w:r w:rsidRPr="00F9101E">
              <w:lastRenderedPageBreak/>
              <w:t>36</w:t>
            </w:r>
          </w:p>
        </w:tc>
        <w:tc>
          <w:tcPr>
            <w:tcW w:w="534" w:type="dxa"/>
          </w:tcPr>
          <w:p w14:paraId="51D4AEC6" w14:textId="25DB55A8" w:rsidR="00363AAC" w:rsidRPr="00F9101E" w:rsidRDefault="00363AAC" w:rsidP="00E52BA0">
            <w:r w:rsidRPr="00F9101E">
              <w:t>2</w:t>
            </w:r>
          </w:p>
        </w:tc>
        <w:tc>
          <w:tcPr>
            <w:tcW w:w="5829" w:type="dxa"/>
          </w:tcPr>
          <w:p w14:paraId="6741D05F" w14:textId="2451CBCF" w:rsidR="00363AAC" w:rsidRPr="00F9101E" w:rsidRDefault="00363AAC" w:rsidP="00E52BA0"/>
        </w:tc>
        <w:tc>
          <w:tcPr>
            <w:tcW w:w="7034" w:type="dxa"/>
          </w:tcPr>
          <w:p w14:paraId="62E3C2AC" w14:textId="21F54E1A" w:rsidR="00363AAC" w:rsidRPr="00F9101E" w:rsidRDefault="00363AAC" w:rsidP="00363AAC">
            <w:pPr>
              <w:tabs>
                <w:tab w:val="left" w:pos="1080"/>
              </w:tabs>
              <w:rPr>
                <w:rFonts w:cs="Arial"/>
                <w:vertAlign w:val="superscript"/>
              </w:rPr>
            </w:pPr>
            <w:r w:rsidRPr="00F9101E">
              <w:t xml:space="preserve">Les pharmaciens ne peuvent administrer les vaccins visés à l’al. 1 que s’ils sont titulaires du certificat de formation complémentaire FPH Vaccination et prélèvements sanguins ou </w:t>
            </w:r>
            <w:r w:rsidRPr="00030782">
              <w:rPr>
                <w:color w:val="FF0000"/>
              </w:rPr>
              <w:t>de la formation prégraduée</w:t>
            </w:r>
            <w:r w:rsidR="00030782">
              <w:t xml:space="preserve"> </w:t>
            </w:r>
            <w:r w:rsidR="00030782">
              <w:rPr>
                <w:strike/>
              </w:rPr>
              <w:t>du certificat d’une formation équivalente</w:t>
            </w:r>
            <w:r w:rsidRPr="00F9101E">
              <w:t>.</w:t>
            </w:r>
          </w:p>
        </w:tc>
      </w:tr>
      <w:tr w:rsidR="009674E9" w14:paraId="7A8C596E" w14:textId="77777777" w:rsidTr="00F939F9">
        <w:tc>
          <w:tcPr>
            <w:tcW w:w="595" w:type="dxa"/>
          </w:tcPr>
          <w:p w14:paraId="5C20046D" w14:textId="11B64E68" w:rsidR="009674E9" w:rsidRPr="00F9101E" w:rsidRDefault="009674E9" w:rsidP="00E52BA0">
            <w:r w:rsidRPr="00F9101E">
              <w:t>36</w:t>
            </w:r>
          </w:p>
        </w:tc>
        <w:tc>
          <w:tcPr>
            <w:tcW w:w="534" w:type="dxa"/>
          </w:tcPr>
          <w:p w14:paraId="5356BFC2" w14:textId="19EA9884" w:rsidR="009674E9" w:rsidRPr="00F9101E" w:rsidRDefault="009674E9" w:rsidP="00E52BA0">
            <w:r w:rsidRPr="00F9101E">
              <w:t>3</w:t>
            </w:r>
          </w:p>
        </w:tc>
        <w:tc>
          <w:tcPr>
            <w:tcW w:w="5829" w:type="dxa"/>
          </w:tcPr>
          <w:p w14:paraId="42076079" w14:textId="2D2DA8EE" w:rsidR="009674E9" w:rsidRPr="00F9101E" w:rsidRDefault="009674E9" w:rsidP="00E52BA0"/>
        </w:tc>
        <w:tc>
          <w:tcPr>
            <w:tcW w:w="7034" w:type="dxa"/>
          </w:tcPr>
          <w:p w14:paraId="300CEA7C" w14:textId="3186D7CC" w:rsidR="009674E9" w:rsidRPr="00F9101E" w:rsidRDefault="009674E9" w:rsidP="00363AAC">
            <w:pPr>
              <w:tabs>
                <w:tab w:val="left" w:pos="1080"/>
              </w:tabs>
            </w:pPr>
            <w:r w:rsidRPr="00F9101E">
              <w:t>La pharmacie doit disposer d’une pièce adaptée à la vaccination,</w:t>
            </w:r>
            <w:r w:rsidR="00030782">
              <w:t xml:space="preserve"> </w:t>
            </w:r>
            <w:r w:rsidR="00030782">
              <w:rPr>
                <w:strike/>
              </w:rPr>
              <w:t xml:space="preserve">isolée </w:t>
            </w:r>
            <w:proofErr w:type="spellStart"/>
            <w:r w:rsidR="00030782">
              <w:rPr>
                <w:strike/>
              </w:rPr>
              <w:t>accoustiquement</w:t>
            </w:r>
            <w:proofErr w:type="spellEnd"/>
            <w:r w:rsidR="00030782">
              <w:rPr>
                <w:strike/>
              </w:rPr>
              <w:t xml:space="preserve"> et visuellement</w:t>
            </w:r>
            <w:r w:rsidRPr="00F9101E">
              <w:t xml:space="preserve"> </w:t>
            </w:r>
            <w:r w:rsidRPr="00030782">
              <w:rPr>
                <w:color w:val="FF0000"/>
              </w:rPr>
              <w:t>qui garantit la confidentialité</w:t>
            </w:r>
            <w:r w:rsidRPr="00F9101E">
              <w:t xml:space="preserve">, et pourvue d’un lit permettant à la personne à vacciner de s’allonger, ainsi que d’un équipement d’urgence et d’un système approprié d’assurance de la qualité. </w:t>
            </w:r>
          </w:p>
        </w:tc>
      </w:tr>
      <w:tr w:rsidR="00CE63A3" w14:paraId="59314D27" w14:textId="77777777" w:rsidTr="00020B57">
        <w:trPr>
          <w:trHeight w:val="1966"/>
        </w:trPr>
        <w:tc>
          <w:tcPr>
            <w:tcW w:w="595" w:type="dxa"/>
          </w:tcPr>
          <w:p w14:paraId="2AFA0CE7" w14:textId="1A534090" w:rsidR="00CE63A3" w:rsidRPr="00F9101E" w:rsidRDefault="00CE63A3" w:rsidP="00E52BA0">
            <w:r w:rsidRPr="00F9101E">
              <w:t>37</w:t>
            </w:r>
          </w:p>
        </w:tc>
        <w:tc>
          <w:tcPr>
            <w:tcW w:w="534" w:type="dxa"/>
          </w:tcPr>
          <w:p w14:paraId="55CDCD63" w14:textId="77777777" w:rsidR="00CE63A3" w:rsidRPr="00F9101E" w:rsidRDefault="00CE63A3" w:rsidP="00E52BA0"/>
        </w:tc>
        <w:tc>
          <w:tcPr>
            <w:tcW w:w="5829" w:type="dxa"/>
          </w:tcPr>
          <w:p w14:paraId="493A355C" w14:textId="708C9DF0" w:rsidR="00CE63A3" w:rsidRPr="004D0BA1" w:rsidRDefault="00CE63A3" w:rsidP="00E52BA0">
            <w:pPr>
              <w:rPr>
                <w:rFonts w:cs="Arial"/>
              </w:rPr>
            </w:pPr>
            <w:r w:rsidRPr="004D0BA1">
              <w:rPr>
                <w:rFonts w:cs="Arial"/>
              </w:rPr>
              <w:t xml:space="preserve">Cet article devrait se référer à la législation en vigueur </w:t>
            </w:r>
            <w:r w:rsidR="00020B57" w:rsidRPr="004D0BA1">
              <w:rPr>
                <w:rFonts w:cs="Arial"/>
              </w:rPr>
              <w:t>sur</w:t>
            </w:r>
            <w:r w:rsidRPr="004D0BA1">
              <w:rPr>
                <w:rFonts w:cs="Arial"/>
              </w:rPr>
              <w:t xml:space="preserve"> l’administration des médicaments</w:t>
            </w:r>
            <w:r w:rsidR="00020B57" w:rsidRPr="004D0BA1">
              <w:rPr>
                <w:rFonts w:cs="Arial"/>
              </w:rPr>
              <w:t xml:space="preserve"> soumis à ordonnance</w:t>
            </w:r>
            <w:r w:rsidRPr="004D0BA1">
              <w:rPr>
                <w:rFonts w:cs="Arial"/>
              </w:rPr>
              <w:t>, notamment l’article 52 de l’Ordonnance sur les médicaments (</w:t>
            </w:r>
            <w:proofErr w:type="spellStart"/>
            <w:r w:rsidRPr="004D0BA1">
              <w:rPr>
                <w:rFonts w:cs="Arial"/>
              </w:rPr>
              <w:t>OMéd</w:t>
            </w:r>
            <w:proofErr w:type="spellEnd"/>
            <w:r w:rsidRPr="004D0BA1">
              <w:rPr>
                <w:rFonts w:cs="Arial"/>
              </w:rPr>
              <w:t>)</w:t>
            </w:r>
            <w:r w:rsidR="00F962A9" w:rsidRPr="004D0BA1">
              <w:rPr>
                <w:rFonts w:cs="Arial"/>
              </w:rPr>
              <w:t>, et non l’article 51 comme mentionné dans le rapport explicatif.</w:t>
            </w:r>
            <w:r w:rsidR="00020B57" w:rsidRPr="004D0BA1">
              <w:rPr>
                <w:rFonts w:cs="Arial"/>
              </w:rPr>
              <w:t xml:space="preserve"> L’</w:t>
            </w:r>
            <w:proofErr w:type="spellStart"/>
            <w:r w:rsidR="00020B57" w:rsidRPr="004D0BA1">
              <w:rPr>
                <w:rFonts w:cs="Arial"/>
              </w:rPr>
              <w:t>OMéd</w:t>
            </w:r>
            <w:proofErr w:type="spellEnd"/>
            <w:r w:rsidR="00020B57" w:rsidRPr="004D0BA1">
              <w:rPr>
                <w:rFonts w:cs="Arial"/>
              </w:rPr>
              <w:t xml:space="preserve"> établit une liste de catégories professionnelles pouvant obtenir une autorisation pour administrer ces médicaments. </w:t>
            </w:r>
          </w:p>
          <w:p w14:paraId="405A9CE6" w14:textId="77777777" w:rsidR="00020B57" w:rsidRPr="004D0BA1" w:rsidRDefault="00020B57" w:rsidP="00E52BA0">
            <w:pPr>
              <w:rPr>
                <w:rFonts w:cs="Arial"/>
              </w:rPr>
            </w:pPr>
            <w:r w:rsidRPr="004D0BA1">
              <w:rPr>
                <w:rFonts w:cs="Arial"/>
              </w:rPr>
              <w:t>Il est nécessaire de prévoir une liste détaillant les médicaments que chaque catégorie professionnelle est autorisée à administrer.</w:t>
            </w:r>
          </w:p>
          <w:p w14:paraId="523B3682" w14:textId="77777777" w:rsidR="004D0BA1" w:rsidRPr="004D0BA1" w:rsidRDefault="004D0BA1" w:rsidP="00E52BA0">
            <w:pPr>
              <w:rPr>
                <w:rFonts w:cs="Arial"/>
              </w:rPr>
            </w:pPr>
          </w:p>
          <w:p w14:paraId="534D3624" w14:textId="186CA84B" w:rsidR="004D0BA1" w:rsidRPr="004D0BA1" w:rsidRDefault="004D0BA1" w:rsidP="004D0BA1">
            <w:pPr>
              <w:pStyle w:val="Sansinterligne"/>
              <w:jc w:val="both"/>
              <w:rPr>
                <w:rFonts w:ascii="Arial" w:hAnsi="Arial" w:cs="Arial"/>
                <w:sz w:val="20"/>
                <w:szCs w:val="20"/>
              </w:rPr>
            </w:pPr>
            <w:r>
              <w:rPr>
                <w:rFonts w:ascii="Arial" w:hAnsi="Arial" w:cs="Arial"/>
                <w:sz w:val="20"/>
                <w:szCs w:val="20"/>
              </w:rPr>
              <w:t>Concernant</w:t>
            </w:r>
            <w:r w:rsidRPr="004D0BA1">
              <w:rPr>
                <w:rFonts w:ascii="Arial" w:hAnsi="Arial" w:cs="Arial"/>
                <w:sz w:val="20"/>
                <w:szCs w:val="20"/>
              </w:rPr>
              <w:t xml:space="preserve"> la</w:t>
            </w:r>
            <w:r>
              <w:rPr>
                <w:rFonts w:ascii="Arial" w:hAnsi="Arial" w:cs="Arial"/>
                <w:sz w:val="20"/>
                <w:szCs w:val="20"/>
              </w:rPr>
              <w:t xml:space="preserve"> médecine</w:t>
            </w:r>
            <w:r w:rsidRPr="004D0BA1">
              <w:rPr>
                <w:rFonts w:ascii="Arial" w:hAnsi="Arial" w:cs="Arial"/>
                <w:sz w:val="20"/>
                <w:szCs w:val="20"/>
              </w:rPr>
              <w:t xml:space="preserve"> vétérinaire, la pharmacie de l’armée est-elle soumise aux mêmes obligations </w:t>
            </w:r>
            <w:r>
              <w:rPr>
                <w:rFonts w:ascii="Arial" w:hAnsi="Arial" w:cs="Arial"/>
                <w:sz w:val="20"/>
                <w:szCs w:val="20"/>
              </w:rPr>
              <w:t>en matière de saisie</w:t>
            </w:r>
            <w:r w:rsidRPr="004D0BA1">
              <w:rPr>
                <w:rFonts w:ascii="Arial" w:hAnsi="Arial" w:cs="Arial"/>
                <w:sz w:val="20"/>
                <w:szCs w:val="20"/>
              </w:rPr>
              <w:t xml:space="preserve"> dans le SI ABV (utilisations d’antibiotiques, section 4a </w:t>
            </w:r>
            <w:proofErr w:type="spellStart"/>
            <w:r w:rsidRPr="004D0BA1">
              <w:rPr>
                <w:rFonts w:ascii="Arial" w:hAnsi="Arial" w:cs="Arial"/>
                <w:sz w:val="20"/>
                <w:szCs w:val="20"/>
              </w:rPr>
              <w:t>LPTh</w:t>
            </w:r>
            <w:proofErr w:type="spellEnd"/>
            <w:proofErr w:type="gramStart"/>
            <w:r w:rsidRPr="004D0BA1">
              <w:rPr>
                <w:rFonts w:ascii="Arial" w:hAnsi="Arial" w:cs="Arial"/>
                <w:sz w:val="20"/>
                <w:szCs w:val="20"/>
              </w:rPr>
              <w:t>)?</w:t>
            </w:r>
            <w:proofErr w:type="gramEnd"/>
            <w:r w:rsidRPr="004D0BA1">
              <w:rPr>
                <w:rFonts w:ascii="Arial" w:hAnsi="Arial" w:cs="Arial"/>
                <w:sz w:val="20"/>
                <w:szCs w:val="20"/>
              </w:rPr>
              <w:t xml:space="preserve"> Si tel est le cas, il conviendrait de le préciser </w:t>
            </w:r>
            <w:r>
              <w:rPr>
                <w:rFonts w:ascii="Arial" w:hAnsi="Arial" w:cs="Arial"/>
                <w:sz w:val="20"/>
                <w:szCs w:val="20"/>
              </w:rPr>
              <w:t xml:space="preserve">ici ou à l’art. </w:t>
            </w:r>
            <w:r w:rsidRPr="004D0BA1">
              <w:rPr>
                <w:rFonts w:ascii="Arial" w:hAnsi="Arial" w:cs="Arial"/>
                <w:sz w:val="20"/>
                <w:szCs w:val="20"/>
              </w:rPr>
              <w:t>41 et d</w:t>
            </w:r>
            <w:r>
              <w:rPr>
                <w:rFonts w:ascii="Arial" w:hAnsi="Arial" w:cs="Arial"/>
                <w:sz w:val="20"/>
                <w:szCs w:val="20"/>
              </w:rPr>
              <w:t>’envisager les adaptations</w:t>
            </w:r>
            <w:r w:rsidRPr="004D0BA1">
              <w:rPr>
                <w:rFonts w:ascii="Arial" w:hAnsi="Arial" w:cs="Arial"/>
                <w:sz w:val="20"/>
                <w:szCs w:val="20"/>
              </w:rPr>
              <w:t xml:space="preserve"> informatiques correspondantes. </w:t>
            </w:r>
            <w:r>
              <w:rPr>
                <w:rFonts w:ascii="Arial" w:hAnsi="Arial" w:cs="Arial"/>
                <w:sz w:val="20"/>
                <w:szCs w:val="20"/>
              </w:rPr>
              <w:t>Dans le cas contraire</w:t>
            </w:r>
            <w:r w:rsidRPr="004D0BA1">
              <w:rPr>
                <w:rFonts w:ascii="Arial" w:hAnsi="Arial" w:cs="Arial"/>
                <w:sz w:val="20"/>
                <w:szCs w:val="20"/>
              </w:rPr>
              <w:t>, préciser qu’elle est exempte de cette obligation.</w:t>
            </w:r>
          </w:p>
        </w:tc>
        <w:tc>
          <w:tcPr>
            <w:tcW w:w="7034" w:type="dxa"/>
          </w:tcPr>
          <w:p w14:paraId="5422E17D" w14:textId="54372B92" w:rsidR="00CE63A3" w:rsidRPr="00F9101E" w:rsidRDefault="00CE63A3" w:rsidP="00363AAC">
            <w:pPr>
              <w:tabs>
                <w:tab w:val="left" w:pos="1080"/>
              </w:tabs>
            </w:pPr>
          </w:p>
        </w:tc>
      </w:tr>
      <w:tr w:rsidR="002C6E94" w14:paraId="66BE0770" w14:textId="77777777" w:rsidTr="008B49F6">
        <w:trPr>
          <w:trHeight w:val="383"/>
        </w:trPr>
        <w:tc>
          <w:tcPr>
            <w:tcW w:w="595" w:type="dxa"/>
          </w:tcPr>
          <w:p w14:paraId="541D27EB" w14:textId="082213A5" w:rsidR="002C6E94" w:rsidRPr="00F9101E" w:rsidRDefault="008B49F6" w:rsidP="00E52BA0">
            <w:r w:rsidRPr="00F9101E">
              <w:t>38</w:t>
            </w:r>
          </w:p>
        </w:tc>
        <w:tc>
          <w:tcPr>
            <w:tcW w:w="534" w:type="dxa"/>
          </w:tcPr>
          <w:p w14:paraId="1269A0F6" w14:textId="04A2D4A0" w:rsidR="002C6E94" w:rsidRPr="00F9101E" w:rsidRDefault="008B49F6" w:rsidP="00E52BA0">
            <w:r w:rsidRPr="00F9101E">
              <w:t>3</w:t>
            </w:r>
          </w:p>
          <w:p w14:paraId="7D914D97" w14:textId="1E0BE685" w:rsidR="008B49F6" w:rsidRPr="00F9101E" w:rsidRDefault="008B49F6" w:rsidP="00E52BA0"/>
        </w:tc>
        <w:tc>
          <w:tcPr>
            <w:tcW w:w="5829" w:type="dxa"/>
          </w:tcPr>
          <w:p w14:paraId="4A5A9749" w14:textId="4C50DBE6" w:rsidR="008B49F6" w:rsidRPr="00F9101E" w:rsidRDefault="008B49F6" w:rsidP="00E52BA0">
            <w:r w:rsidRPr="00F9101E">
              <w:t xml:space="preserve">Le terme « point de remise » est à préciser. </w:t>
            </w:r>
          </w:p>
        </w:tc>
        <w:tc>
          <w:tcPr>
            <w:tcW w:w="7034" w:type="dxa"/>
          </w:tcPr>
          <w:p w14:paraId="3C0E6716" w14:textId="77777777" w:rsidR="002C6E94" w:rsidRPr="00F9101E" w:rsidRDefault="002C6E94" w:rsidP="00363AAC">
            <w:pPr>
              <w:tabs>
                <w:tab w:val="left" w:pos="1080"/>
              </w:tabs>
            </w:pPr>
          </w:p>
          <w:p w14:paraId="106AA80F" w14:textId="77777777" w:rsidR="008B49F6" w:rsidRPr="00F9101E" w:rsidRDefault="008B49F6" w:rsidP="00363AAC">
            <w:pPr>
              <w:tabs>
                <w:tab w:val="left" w:pos="1080"/>
              </w:tabs>
            </w:pPr>
          </w:p>
        </w:tc>
      </w:tr>
      <w:tr w:rsidR="008B49F6" w14:paraId="54529D1A" w14:textId="77777777" w:rsidTr="008B49F6">
        <w:trPr>
          <w:trHeight w:val="920"/>
        </w:trPr>
        <w:tc>
          <w:tcPr>
            <w:tcW w:w="595" w:type="dxa"/>
          </w:tcPr>
          <w:p w14:paraId="72BDB93F" w14:textId="02ED9AD5" w:rsidR="008B49F6" w:rsidRPr="00F9101E" w:rsidRDefault="008B49F6" w:rsidP="00E52BA0">
            <w:r w:rsidRPr="00F9101E">
              <w:t>38</w:t>
            </w:r>
          </w:p>
        </w:tc>
        <w:tc>
          <w:tcPr>
            <w:tcW w:w="534" w:type="dxa"/>
          </w:tcPr>
          <w:p w14:paraId="7378A689" w14:textId="70599EA4" w:rsidR="008B49F6" w:rsidRPr="00F9101E" w:rsidRDefault="008B49F6" w:rsidP="00E52BA0">
            <w:r w:rsidRPr="00F9101E">
              <w:t>4</w:t>
            </w:r>
          </w:p>
        </w:tc>
        <w:tc>
          <w:tcPr>
            <w:tcW w:w="5829" w:type="dxa"/>
          </w:tcPr>
          <w:p w14:paraId="7699D153" w14:textId="22C597F5" w:rsidR="008B49F6" w:rsidRPr="00F9101E" w:rsidRDefault="008B49F6" w:rsidP="00E52BA0">
            <w:r w:rsidRPr="00F9101E">
              <w:t xml:space="preserve">La référence à l’Ordonnance sur l’hygiène n’est pas appropriée car elle s’applique aux activités </w:t>
            </w:r>
            <w:r w:rsidR="00932116" w:rsidRPr="00F9101E">
              <w:t>relatives</w:t>
            </w:r>
            <w:r w:rsidRPr="00F9101E">
              <w:t xml:space="preserve"> aux denrées alimentaires. Ce sont les règles de la Pharmacopée qui doivent s’appliquer dans ce contexte. </w:t>
            </w:r>
          </w:p>
        </w:tc>
        <w:tc>
          <w:tcPr>
            <w:tcW w:w="7034" w:type="dxa"/>
          </w:tcPr>
          <w:p w14:paraId="061DBA90" w14:textId="57C79115" w:rsidR="008B49F6" w:rsidRPr="00AE11DE" w:rsidRDefault="008B49F6" w:rsidP="00363AAC">
            <w:pPr>
              <w:tabs>
                <w:tab w:val="left" w:pos="1080"/>
              </w:tabs>
              <w:rPr>
                <w:strike/>
              </w:rPr>
            </w:pPr>
            <w:r w:rsidRPr="00F9101E">
              <w:t xml:space="preserve">En ce qui concerne les activités en rapport avec les médicaments, les exigences en matière d’hygiène prévues </w:t>
            </w:r>
            <w:r w:rsidRPr="00AE11DE">
              <w:rPr>
                <w:color w:val="FF0000"/>
              </w:rPr>
              <w:t>dans la Pharmacopée doivent s’appliquer.</w:t>
            </w:r>
            <w:r w:rsidR="00AE11DE">
              <w:rPr>
                <w:color w:val="FF0000"/>
              </w:rPr>
              <w:t xml:space="preserve"> </w:t>
            </w:r>
            <w:proofErr w:type="gramStart"/>
            <w:r w:rsidR="00AE11DE" w:rsidRPr="00AE11DE">
              <w:rPr>
                <w:strike/>
              </w:rPr>
              <w:t>l’ordonnance</w:t>
            </w:r>
            <w:proofErr w:type="gramEnd"/>
            <w:r w:rsidR="00AE11DE" w:rsidRPr="00AE11DE">
              <w:rPr>
                <w:strike/>
              </w:rPr>
              <w:t xml:space="preserve"> du DFI du 16 décembre 2016 sur l’hygiène s’appliquent par analogie aux points de remise.</w:t>
            </w:r>
            <w:r w:rsidR="00AE11DE">
              <w:t xml:space="preserve"> </w:t>
            </w:r>
          </w:p>
          <w:p w14:paraId="06004B3A" w14:textId="0F606424" w:rsidR="008B49F6" w:rsidRPr="00F9101E" w:rsidRDefault="008B49F6" w:rsidP="00363AAC">
            <w:pPr>
              <w:tabs>
                <w:tab w:val="left" w:pos="1080"/>
              </w:tabs>
            </w:pPr>
          </w:p>
        </w:tc>
      </w:tr>
      <w:tr w:rsidR="008B49F6" w14:paraId="1B19F2FD" w14:textId="77777777" w:rsidTr="008B49F6">
        <w:trPr>
          <w:trHeight w:val="494"/>
        </w:trPr>
        <w:tc>
          <w:tcPr>
            <w:tcW w:w="595" w:type="dxa"/>
          </w:tcPr>
          <w:p w14:paraId="2A907BF8" w14:textId="7EA58A1A" w:rsidR="008B49F6" w:rsidRPr="00F9101E" w:rsidRDefault="00E104D3" w:rsidP="00E52BA0">
            <w:r w:rsidRPr="00F9101E">
              <w:t>39</w:t>
            </w:r>
          </w:p>
        </w:tc>
        <w:tc>
          <w:tcPr>
            <w:tcW w:w="534" w:type="dxa"/>
          </w:tcPr>
          <w:p w14:paraId="03F095A4" w14:textId="2FB00C25" w:rsidR="008B49F6" w:rsidRPr="00F9101E" w:rsidRDefault="00E104D3" w:rsidP="00E52BA0">
            <w:r w:rsidRPr="00F9101E">
              <w:t>2</w:t>
            </w:r>
          </w:p>
        </w:tc>
        <w:tc>
          <w:tcPr>
            <w:tcW w:w="5829" w:type="dxa"/>
          </w:tcPr>
          <w:p w14:paraId="7E7E5FBD" w14:textId="77777777" w:rsidR="008B49F6" w:rsidRPr="00F9101E" w:rsidRDefault="00E104D3" w:rsidP="00E52BA0">
            <w:r w:rsidRPr="00F9101E">
              <w:t xml:space="preserve">Dans le cadre d’un traitement par agonistes opioïdes (TAO), nous préconisons le maintien d’une coordination cantonale afin de prévenir tout risque d’abus. </w:t>
            </w:r>
          </w:p>
          <w:p w14:paraId="19427669" w14:textId="77777777" w:rsidR="00076BB7" w:rsidRPr="00F9101E" w:rsidRDefault="00076BB7" w:rsidP="00E52BA0"/>
          <w:p w14:paraId="21980C63" w14:textId="77777777" w:rsidR="00076BB7" w:rsidRPr="00F9101E" w:rsidRDefault="00076BB7" w:rsidP="00E52BA0"/>
          <w:p w14:paraId="2216362E" w14:textId="77777777" w:rsidR="00076BB7" w:rsidRPr="00F9101E" w:rsidRDefault="00076BB7" w:rsidP="00E52BA0"/>
          <w:p w14:paraId="3FA95F10" w14:textId="2570E012" w:rsidR="00076BB7" w:rsidRPr="00F9101E" w:rsidRDefault="00076BB7" w:rsidP="00E52BA0"/>
        </w:tc>
        <w:tc>
          <w:tcPr>
            <w:tcW w:w="7034" w:type="dxa"/>
          </w:tcPr>
          <w:p w14:paraId="5FB0C246" w14:textId="77777777" w:rsidR="008B49F6" w:rsidRPr="00F9101E" w:rsidRDefault="008B49F6" w:rsidP="00363AAC">
            <w:pPr>
              <w:tabs>
                <w:tab w:val="left" w:pos="1080"/>
              </w:tabs>
            </w:pPr>
          </w:p>
        </w:tc>
      </w:tr>
      <w:tr w:rsidR="002B68E2" w14:paraId="5D7595DC" w14:textId="77777777" w:rsidTr="008B49F6">
        <w:trPr>
          <w:trHeight w:val="494"/>
        </w:trPr>
        <w:tc>
          <w:tcPr>
            <w:tcW w:w="595" w:type="dxa"/>
          </w:tcPr>
          <w:p w14:paraId="65B7E2B1" w14:textId="25EB14B3" w:rsidR="002B68E2" w:rsidRPr="00F9101E" w:rsidRDefault="002B68E2" w:rsidP="00E52BA0">
            <w:r w:rsidRPr="00F9101E">
              <w:t>40</w:t>
            </w:r>
          </w:p>
        </w:tc>
        <w:tc>
          <w:tcPr>
            <w:tcW w:w="534" w:type="dxa"/>
          </w:tcPr>
          <w:p w14:paraId="5A808EAB" w14:textId="4685E016" w:rsidR="002B68E2" w:rsidRPr="00F9101E" w:rsidRDefault="002B68E2" w:rsidP="00E52BA0">
            <w:r w:rsidRPr="00F9101E">
              <w:t>1</w:t>
            </w:r>
          </w:p>
        </w:tc>
        <w:tc>
          <w:tcPr>
            <w:tcW w:w="5829" w:type="dxa"/>
          </w:tcPr>
          <w:p w14:paraId="78D87554" w14:textId="77777777" w:rsidR="002B68E2" w:rsidRDefault="002B68E2" w:rsidP="00E52BA0">
            <w:r w:rsidRPr="00F9101E">
              <w:t xml:space="preserve">Nous nous opposons </w:t>
            </w:r>
            <w:r w:rsidR="00932116" w:rsidRPr="00F9101E">
              <w:t>à ce</w:t>
            </w:r>
            <w:r w:rsidRPr="00F9101E">
              <w:t xml:space="preserve"> que les médecins et médecins-dentistes </w:t>
            </w:r>
            <w:r w:rsidR="00932116" w:rsidRPr="00F9101E">
              <w:t>gèrent</w:t>
            </w:r>
            <w:r w:rsidRPr="00F9101E">
              <w:t xml:space="preserve"> une pharmacie</w:t>
            </w:r>
            <w:r w:rsidR="00932116" w:rsidRPr="00F9101E">
              <w:t>, car cela contredit le droit cantonal</w:t>
            </w:r>
            <w:r w:rsidRPr="00F9101E">
              <w:t xml:space="preserve"> en vigueur </w:t>
            </w:r>
            <w:r w:rsidR="00932116" w:rsidRPr="00F9101E">
              <w:t>interdisant</w:t>
            </w:r>
            <w:r w:rsidRPr="00F9101E">
              <w:t xml:space="preserve"> la </w:t>
            </w:r>
            <w:proofErr w:type="spellStart"/>
            <w:r w:rsidRPr="00F9101E">
              <w:t>propharmacie</w:t>
            </w:r>
            <w:proofErr w:type="spellEnd"/>
            <w:r w:rsidRPr="00F9101E">
              <w:t xml:space="preserve">. </w:t>
            </w:r>
          </w:p>
          <w:p w14:paraId="3840FFDE" w14:textId="77777777" w:rsidR="00233749" w:rsidRDefault="00233749" w:rsidP="00E52BA0"/>
          <w:p w14:paraId="10EE2551" w14:textId="1A9477BF" w:rsidR="00233749" w:rsidRPr="00233749" w:rsidRDefault="00233749" w:rsidP="00233749">
            <w:pPr>
              <w:pStyle w:val="Sansinterligne"/>
              <w:jc w:val="both"/>
              <w:rPr>
                <w:rFonts w:ascii="Arial" w:hAnsi="Arial" w:cs="Arial"/>
                <w:sz w:val="20"/>
                <w:szCs w:val="20"/>
              </w:rPr>
            </w:pPr>
            <w:r w:rsidRPr="009E45D2">
              <w:rPr>
                <w:rFonts w:ascii="Arial" w:hAnsi="Arial" w:cs="Arial"/>
                <w:sz w:val="20"/>
                <w:szCs w:val="20"/>
              </w:rPr>
              <w:t xml:space="preserve">Concernant la médecine vétérinaire, </w:t>
            </w:r>
            <w:r w:rsidR="004F174D">
              <w:rPr>
                <w:rFonts w:ascii="Arial" w:hAnsi="Arial" w:cs="Arial"/>
                <w:sz w:val="20"/>
                <w:szCs w:val="20"/>
              </w:rPr>
              <w:t xml:space="preserve">compte tenu des particularités liées aux autorisations et à la remise de médicaments, </w:t>
            </w:r>
            <w:r w:rsidRPr="009E45D2">
              <w:rPr>
                <w:rFonts w:ascii="Arial" w:hAnsi="Arial" w:cs="Arial"/>
                <w:sz w:val="20"/>
                <w:szCs w:val="20"/>
              </w:rPr>
              <w:t xml:space="preserve">il conviendrait de prévoir un statut spécifique qui figure </w:t>
            </w:r>
            <w:r w:rsidR="004F174D">
              <w:rPr>
                <w:rFonts w:ascii="Arial" w:hAnsi="Arial" w:cs="Arial"/>
                <w:sz w:val="20"/>
                <w:szCs w:val="20"/>
              </w:rPr>
              <w:t>dans</w:t>
            </w:r>
            <w:r w:rsidRPr="009E45D2">
              <w:rPr>
                <w:rFonts w:ascii="Arial" w:hAnsi="Arial" w:cs="Arial"/>
                <w:sz w:val="20"/>
                <w:szCs w:val="20"/>
              </w:rPr>
              <w:t xml:space="preserve"> </w:t>
            </w:r>
            <w:proofErr w:type="spellStart"/>
            <w:r w:rsidRPr="009E45D2">
              <w:rPr>
                <w:rFonts w:ascii="Arial" w:hAnsi="Arial" w:cs="Arial"/>
                <w:sz w:val="20"/>
                <w:szCs w:val="20"/>
              </w:rPr>
              <w:t>MedReg</w:t>
            </w:r>
            <w:proofErr w:type="spellEnd"/>
            <w:r w:rsidRPr="009E45D2">
              <w:rPr>
                <w:rFonts w:ascii="Arial" w:hAnsi="Arial" w:cs="Arial"/>
                <w:sz w:val="20"/>
                <w:szCs w:val="20"/>
              </w:rPr>
              <w:t xml:space="preserve"> pour les vétérinaires exerçant </w:t>
            </w:r>
            <w:r w:rsidR="004F174D">
              <w:rPr>
                <w:rFonts w:ascii="Arial" w:hAnsi="Arial" w:cs="Arial"/>
                <w:sz w:val="20"/>
                <w:szCs w:val="20"/>
              </w:rPr>
              <w:t>au sein de</w:t>
            </w:r>
            <w:r w:rsidRPr="009E45D2">
              <w:rPr>
                <w:rFonts w:ascii="Arial" w:hAnsi="Arial" w:cs="Arial"/>
                <w:sz w:val="20"/>
                <w:szCs w:val="20"/>
              </w:rPr>
              <w:t xml:space="preserve"> l’Armée</w:t>
            </w:r>
            <w:r w:rsidR="004F174D">
              <w:rPr>
                <w:rFonts w:ascii="Arial" w:hAnsi="Arial" w:cs="Arial"/>
                <w:sz w:val="20"/>
                <w:szCs w:val="20"/>
              </w:rPr>
              <w:t>. Ce statut devrait inclure l</w:t>
            </w:r>
            <w:r w:rsidRPr="009E45D2">
              <w:rPr>
                <w:rFonts w:ascii="Arial" w:hAnsi="Arial" w:cs="Arial"/>
                <w:sz w:val="20"/>
                <w:szCs w:val="20"/>
              </w:rPr>
              <w:t xml:space="preserve">e droit à la </w:t>
            </w:r>
            <w:proofErr w:type="spellStart"/>
            <w:r w:rsidRPr="009E45D2">
              <w:rPr>
                <w:rFonts w:ascii="Arial" w:hAnsi="Arial" w:cs="Arial"/>
                <w:sz w:val="20"/>
                <w:szCs w:val="20"/>
              </w:rPr>
              <w:t>propharmacie</w:t>
            </w:r>
            <w:proofErr w:type="spellEnd"/>
            <w:r w:rsidR="004F174D">
              <w:rPr>
                <w:rFonts w:ascii="Arial" w:hAnsi="Arial" w:cs="Arial"/>
                <w:sz w:val="20"/>
                <w:szCs w:val="20"/>
              </w:rPr>
              <w:t>, notamment lorsqu’ils</w:t>
            </w:r>
            <w:r w:rsidRPr="009E45D2">
              <w:rPr>
                <w:rFonts w:ascii="Arial" w:hAnsi="Arial" w:cs="Arial"/>
                <w:sz w:val="20"/>
                <w:szCs w:val="20"/>
              </w:rPr>
              <w:t xml:space="preserve"> sont amenés à </w:t>
            </w:r>
            <w:r w:rsidR="004F174D">
              <w:rPr>
                <w:rFonts w:ascii="Arial" w:hAnsi="Arial" w:cs="Arial"/>
                <w:sz w:val="20"/>
                <w:szCs w:val="20"/>
              </w:rPr>
              <w:t>effectuer</w:t>
            </w:r>
            <w:r w:rsidRPr="009E45D2">
              <w:rPr>
                <w:rFonts w:ascii="Arial" w:hAnsi="Arial" w:cs="Arial"/>
                <w:sz w:val="20"/>
                <w:szCs w:val="20"/>
              </w:rPr>
              <w:t xml:space="preserve"> des commandes de médicaments. </w:t>
            </w:r>
            <w:r w:rsidR="004F174D">
              <w:rPr>
                <w:rFonts w:ascii="Arial" w:hAnsi="Arial" w:cs="Arial"/>
                <w:sz w:val="20"/>
                <w:szCs w:val="20"/>
              </w:rPr>
              <w:t>On peut supposer que</w:t>
            </w:r>
            <w:r w:rsidRPr="009E45D2">
              <w:rPr>
                <w:rFonts w:ascii="Arial" w:hAnsi="Arial" w:cs="Arial"/>
                <w:sz w:val="20"/>
                <w:szCs w:val="20"/>
              </w:rPr>
              <w:t xml:space="preserve"> ces autorisations et saisies dans </w:t>
            </w:r>
            <w:proofErr w:type="spellStart"/>
            <w:r w:rsidRPr="009E45D2">
              <w:rPr>
                <w:rFonts w:ascii="Arial" w:hAnsi="Arial" w:cs="Arial"/>
                <w:sz w:val="20"/>
                <w:szCs w:val="20"/>
              </w:rPr>
              <w:t>MedReg</w:t>
            </w:r>
            <w:proofErr w:type="spellEnd"/>
            <w:r w:rsidRPr="009E45D2">
              <w:rPr>
                <w:rFonts w:ascii="Arial" w:hAnsi="Arial" w:cs="Arial"/>
                <w:sz w:val="20"/>
                <w:szCs w:val="20"/>
              </w:rPr>
              <w:t xml:space="preserve"> </w:t>
            </w:r>
            <w:r w:rsidR="004F174D">
              <w:rPr>
                <w:rFonts w:ascii="Arial" w:hAnsi="Arial" w:cs="Arial"/>
                <w:sz w:val="20"/>
                <w:szCs w:val="20"/>
              </w:rPr>
              <w:t>relèveraient de la compétence</w:t>
            </w:r>
            <w:r w:rsidRPr="009E45D2">
              <w:rPr>
                <w:rFonts w:ascii="Arial" w:hAnsi="Arial" w:cs="Arial"/>
                <w:sz w:val="20"/>
                <w:szCs w:val="20"/>
              </w:rPr>
              <w:t xml:space="preserve"> de la Confédération</w:t>
            </w:r>
            <w:r w:rsidR="004F174D">
              <w:rPr>
                <w:rFonts w:ascii="Arial" w:hAnsi="Arial" w:cs="Arial"/>
                <w:sz w:val="20"/>
                <w:szCs w:val="20"/>
              </w:rPr>
              <w:t>, plutôt que</w:t>
            </w:r>
            <w:r w:rsidRPr="009E45D2">
              <w:rPr>
                <w:rFonts w:ascii="Arial" w:hAnsi="Arial" w:cs="Arial"/>
                <w:sz w:val="20"/>
                <w:szCs w:val="20"/>
              </w:rPr>
              <w:t xml:space="preserve"> de l’autorité cantonale.</w:t>
            </w:r>
          </w:p>
        </w:tc>
        <w:tc>
          <w:tcPr>
            <w:tcW w:w="7034" w:type="dxa"/>
          </w:tcPr>
          <w:p w14:paraId="1B1A5D2F" w14:textId="607B356D" w:rsidR="002B68E2" w:rsidRPr="004F174D" w:rsidRDefault="002B68E2" w:rsidP="00363AAC">
            <w:pPr>
              <w:tabs>
                <w:tab w:val="left" w:pos="1080"/>
              </w:tabs>
            </w:pPr>
          </w:p>
        </w:tc>
      </w:tr>
      <w:tr w:rsidR="009E0988" w14:paraId="30BDF19F" w14:textId="77777777" w:rsidTr="008B49F6">
        <w:trPr>
          <w:trHeight w:val="494"/>
        </w:trPr>
        <w:tc>
          <w:tcPr>
            <w:tcW w:w="595" w:type="dxa"/>
          </w:tcPr>
          <w:p w14:paraId="0C24E1B6" w14:textId="357C56EA" w:rsidR="009E0988" w:rsidRPr="00F9101E" w:rsidRDefault="009E0988" w:rsidP="00E52BA0">
            <w:r w:rsidRPr="00F9101E">
              <w:t>40</w:t>
            </w:r>
          </w:p>
        </w:tc>
        <w:tc>
          <w:tcPr>
            <w:tcW w:w="534" w:type="dxa"/>
          </w:tcPr>
          <w:p w14:paraId="7DF3C460" w14:textId="7E1F283F" w:rsidR="009E0988" w:rsidRPr="00F9101E" w:rsidRDefault="009E0988" w:rsidP="00E52BA0">
            <w:r w:rsidRPr="00F9101E">
              <w:t>2</w:t>
            </w:r>
          </w:p>
        </w:tc>
        <w:tc>
          <w:tcPr>
            <w:tcW w:w="5829" w:type="dxa"/>
          </w:tcPr>
          <w:p w14:paraId="0BC19F19" w14:textId="07393AE4" w:rsidR="009E0988" w:rsidRPr="00F9101E" w:rsidRDefault="009E0988" w:rsidP="00E52BA0">
            <w:r w:rsidRPr="00F9101E">
              <w:t>Nous proposons de supprimer cet alinéa relatif aux professionnels de la médecine complémentaire</w:t>
            </w:r>
            <w:r w:rsidR="00932116" w:rsidRPr="00F9101E">
              <w:t>, que nous estimons inadapté dans ce contexte.</w:t>
            </w:r>
            <w:r w:rsidRPr="00F9101E">
              <w:t xml:space="preserve"> </w:t>
            </w:r>
          </w:p>
        </w:tc>
        <w:tc>
          <w:tcPr>
            <w:tcW w:w="7034" w:type="dxa"/>
          </w:tcPr>
          <w:p w14:paraId="1E013E40" w14:textId="77777777" w:rsidR="009E0988" w:rsidRPr="00F9101E" w:rsidRDefault="009E0988" w:rsidP="00363AAC">
            <w:pPr>
              <w:tabs>
                <w:tab w:val="left" w:pos="1080"/>
              </w:tabs>
            </w:pPr>
          </w:p>
        </w:tc>
      </w:tr>
      <w:tr w:rsidR="009E0988" w14:paraId="63C41855" w14:textId="77777777" w:rsidTr="008B49F6">
        <w:trPr>
          <w:trHeight w:val="494"/>
        </w:trPr>
        <w:tc>
          <w:tcPr>
            <w:tcW w:w="595" w:type="dxa"/>
          </w:tcPr>
          <w:p w14:paraId="0286CBFB" w14:textId="77777777" w:rsidR="009E0988" w:rsidRPr="00F9101E" w:rsidRDefault="009E0988" w:rsidP="00E52BA0">
            <w:r w:rsidRPr="00F9101E">
              <w:t>41</w:t>
            </w:r>
          </w:p>
          <w:p w14:paraId="15C0A762" w14:textId="69E1CDFB" w:rsidR="009E0988" w:rsidRPr="00F9101E" w:rsidRDefault="009E0988" w:rsidP="00E52BA0">
            <w:r w:rsidRPr="00F9101E">
              <w:t>42</w:t>
            </w:r>
          </w:p>
        </w:tc>
        <w:tc>
          <w:tcPr>
            <w:tcW w:w="534" w:type="dxa"/>
          </w:tcPr>
          <w:p w14:paraId="1AE20A7C" w14:textId="77777777" w:rsidR="009E0988" w:rsidRPr="00F9101E" w:rsidRDefault="009E0988" w:rsidP="00E52BA0"/>
        </w:tc>
        <w:tc>
          <w:tcPr>
            <w:tcW w:w="5829" w:type="dxa"/>
          </w:tcPr>
          <w:p w14:paraId="6CB8ED25" w14:textId="5DC63BD0" w:rsidR="009E0988" w:rsidRPr="00F9101E" w:rsidRDefault="00932116" w:rsidP="00E52BA0">
            <w:r w:rsidRPr="00F9101E">
              <w:t xml:space="preserve">Les pharmacies sans autorisation cantonale d’exploitation ne font l’objet d’aucune surveillance </w:t>
            </w:r>
            <w:r w:rsidR="00C02796" w:rsidRPr="00F9101E">
              <w:t>ni inspection</w:t>
            </w:r>
            <w:r w:rsidRPr="00F9101E">
              <w:t>. Nous nous opposons à la gestion de ces pharmacies sans</w:t>
            </w:r>
            <w:r w:rsidR="00C02796" w:rsidRPr="00F9101E">
              <w:t xml:space="preserve"> suivi rigoureux. Une surveillance par un organisme compétent tel que </w:t>
            </w:r>
            <w:proofErr w:type="spellStart"/>
            <w:r w:rsidR="00C02796" w:rsidRPr="00F9101E">
              <w:t>Swissmedic</w:t>
            </w:r>
            <w:proofErr w:type="spellEnd"/>
            <w:r w:rsidR="00C02796" w:rsidRPr="00F9101E">
              <w:t xml:space="preserve"> devrait être envisagée. </w:t>
            </w:r>
          </w:p>
        </w:tc>
        <w:tc>
          <w:tcPr>
            <w:tcW w:w="7034" w:type="dxa"/>
          </w:tcPr>
          <w:p w14:paraId="0D6E83D4" w14:textId="77777777" w:rsidR="009E0988" w:rsidRPr="00F9101E" w:rsidRDefault="009E0988" w:rsidP="00363AAC">
            <w:pPr>
              <w:tabs>
                <w:tab w:val="left" w:pos="1080"/>
              </w:tabs>
            </w:pPr>
          </w:p>
        </w:tc>
      </w:tr>
    </w:tbl>
    <w:p w14:paraId="0B4C7657" w14:textId="77777777" w:rsidR="00D4483A" w:rsidRDefault="00D4483A">
      <w:pPr>
        <w:rPr>
          <w:sz w:val="22"/>
          <w:szCs w:val="22"/>
        </w:rPr>
      </w:pPr>
    </w:p>
    <w:p w14:paraId="2486C4CF" w14:textId="77777777" w:rsidR="00D4483A" w:rsidRDefault="00D4483A">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3A7616" w:rsidRPr="00F9101E" w14:paraId="2A8A8F3B" w14:textId="77777777" w:rsidTr="004F1A76">
        <w:tc>
          <w:tcPr>
            <w:tcW w:w="13992" w:type="dxa"/>
            <w:gridSpan w:val="4"/>
          </w:tcPr>
          <w:p w14:paraId="220E17CA" w14:textId="65412D02" w:rsidR="003A7616" w:rsidRPr="004071FA" w:rsidRDefault="003A7616" w:rsidP="004F1A76">
            <w:pPr>
              <w:rPr>
                <w:b/>
                <w:bCs/>
                <w:sz w:val="22"/>
                <w:szCs w:val="22"/>
              </w:rPr>
            </w:pPr>
            <w:r w:rsidRPr="004071FA">
              <w:rPr>
                <w:b/>
                <w:bCs/>
                <w:sz w:val="22"/>
                <w:szCs w:val="22"/>
              </w:rPr>
              <w:t>Section</w:t>
            </w:r>
            <w:r>
              <w:rPr>
                <w:b/>
                <w:bCs/>
                <w:sz w:val="22"/>
                <w:szCs w:val="22"/>
              </w:rPr>
              <w:t xml:space="preserve"> 10     Collaboration avec les établissements médicaux civils</w:t>
            </w:r>
          </w:p>
          <w:p w14:paraId="11B36731" w14:textId="77777777" w:rsidR="003A7616" w:rsidRPr="00F9101E" w:rsidRDefault="003A7616" w:rsidP="004F1A76">
            <w:pPr>
              <w:rPr>
                <w:b/>
                <w:bCs/>
              </w:rPr>
            </w:pPr>
          </w:p>
        </w:tc>
      </w:tr>
      <w:tr w:rsidR="003A7616" w:rsidRPr="00F9101E" w14:paraId="06AEA095" w14:textId="77777777" w:rsidTr="004F1A76">
        <w:tc>
          <w:tcPr>
            <w:tcW w:w="595" w:type="dxa"/>
          </w:tcPr>
          <w:p w14:paraId="20A58867" w14:textId="77777777" w:rsidR="003A7616" w:rsidRPr="00F9101E" w:rsidRDefault="003A7616" w:rsidP="004F1A76">
            <w:pPr>
              <w:rPr>
                <w:b/>
                <w:bCs/>
              </w:rPr>
            </w:pPr>
            <w:r w:rsidRPr="00F9101E">
              <w:rPr>
                <w:b/>
                <w:bCs/>
              </w:rPr>
              <w:t>Art.</w:t>
            </w:r>
          </w:p>
        </w:tc>
        <w:tc>
          <w:tcPr>
            <w:tcW w:w="534" w:type="dxa"/>
          </w:tcPr>
          <w:p w14:paraId="096E9337" w14:textId="77777777" w:rsidR="003A7616" w:rsidRPr="00F9101E" w:rsidRDefault="003A7616" w:rsidP="004F1A76">
            <w:pPr>
              <w:rPr>
                <w:b/>
                <w:bCs/>
              </w:rPr>
            </w:pPr>
            <w:r w:rsidRPr="00F9101E">
              <w:rPr>
                <w:b/>
                <w:bCs/>
              </w:rPr>
              <w:t>Al.</w:t>
            </w:r>
          </w:p>
        </w:tc>
        <w:tc>
          <w:tcPr>
            <w:tcW w:w="5829" w:type="dxa"/>
          </w:tcPr>
          <w:p w14:paraId="72125681" w14:textId="77777777" w:rsidR="003A7616" w:rsidRPr="00F9101E" w:rsidRDefault="003A7616" w:rsidP="004F1A76">
            <w:pPr>
              <w:rPr>
                <w:b/>
                <w:bCs/>
              </w:rPr>
            </w:pPr>
            <w:r w:rsidRPr="00F9101E">
              <w:rPr>
                <w:b/>
                <w:bCs/>
              </w:rPr>
              <w:t>Commentaires</w:t>
            </w:r>
          </w:p>
        </w:tc>
        <w:tc>
          <w:tcPr>
            <w:tcW w:w="7034" w:type="dxa"/>
          </w:tcPr>
          <w:p w14:paraId="448D958A" w14:textId="632532CF" w:rsidR="003A7616" w:rsidRPr="00F9101E" w:rsidRDefault="003C0B31" w:rsidP="004F1A76">
            <w:pPr>
              <w:rPr>
                <w:b/>
                <w:bCs/>
              </w:rPr>
            </w:pPr>
            <w:r w:rsidRPr="003C0B31">
              <w:rPr>
                <w:b/>
                <w:bCs/>
              </w:rPr>
              <w:t>Modifications apportées à l’article</w:t>
            </w:r>
          </w:p>
        </w:tc>
      </w:tr>
      <w:tr w:rsidR="003A7616" w:rsidRPr="00F9101E" w14:paraId="24EC63E5" w14:textId="77777777" w:rsidTr="004F1A76">
        <w:tc>
          <w:tcPr>
            <w:tcW w:w="595" w:type="dxa"/>
          </w:tcPr>
          <w:p w14:paraId="7453389C" w14:textId="148268E2" w:rsidR="003A7616" w:rsidRPr="00F9101E" w:rsidRDefault="003A7616" w:rsidP="004F1A76">
            <w:r>
              <w:t>43</w:t>
            </w:r>
          </w:p>
        </w:tc>
        <w:tc>
          <w:tcPr>
            <w:tcW w:w="534" w:type="dxa"/>
          </w:tcPr>
          <w:p w14:paraId="37AFB9A0" w14:textId="69FE7141" w:rsidR="003A7616" w:rsidRPr="00F9101E" w:rsidRDefault="003A7616" w:rsidP="004F1A76">
            <w:r>
              <w:t>2</w:t>
            </w:r>
          </w:p>
        </w:tc>
        <w:tc>
          <w:tcPr>
            <w:tcW w:w="5829" w:type="dxa"/>
          </w:tcPr>
          <w:p w14:paraId="6B70F9D4" w14:textId="29B85511" w:rsidR="003A7616" w:rsidRPr="00F9101E" w:rsidRDefault="003A7616" w:rsidP="004F1A76">
            <w:r>
              <w:t>Les cantons devraient être parties prenantes lors d</w:t>
            </w:r>
            <w:r w:rsidR="00E5472B">
              <w:t>e l’</w:t>
            </w:r>
            <w:r>
              <w:t xml:space="preserve">établissement des conventions de prestations entre le Groupement Défense et les hôpitaux d’intérêt public (pas de possibilité de convention bilatérale entre l’hôpital d’intérêt public et le Groupement Défense). </w:t>
            </w:r>
          </w:p>
        </w:tc>
        <w:tc>
          <w:tcPr>
            <w:tcW w:w="7034" w:type="dxa"/>
          </w:tcPr>
          <w:p w14:paraId="682D1786" w14:textId="77777777" w:rsidR="003A7616" w:rsidRPr="00F9101E" w:rsidRDefault="003A7616" w:rsidP="004F1A76">
            <w:pPr>
              <w:rPr>
                <w:rFonts w:cs="Arial"/>
              </w:rPr>
            </w:pPr>
          </w:p>
        </w:tc>
      </w:tr>
    </w:tbl>
    <w:p w14:paraId="787C9F6D" w14:textId="77777777" w:rsidR="00D4483A" w:rsidRDefault="00D4483A">
      <w:pPr>
        <w:rPr>
          <w:sz w:val="22"/>
          <w:szCs w:val="22"/>
        </w:rPr>
      </w:pPr>
    </w:p>
    <w:p w14:paraId="1C709812" w14:textId="77777777" w:rsidR="003A7616" w:rsidRDefault="003A7616">
      <w:pPr>
        <w:rPr>
          <w:sz w:val="22"/>
          <w:szCs w:val="22"/>
        </w:rPr>
      </w:pPr>
    </w:p>
    <w:p w14:paraId="494D1C1C" w14:textId="77777777" w:rsidR="00A25C4F" w:rsidRDefault="00A25C4F">
      <w:pPr>
        <w:rPr>
          <w:sz w:val="22"/>
          <w:szCs w:val="22"/>
        </w:rPr>
      </w:pPr>
    </w:p>
    <w:p w14:paraId="5768BAD2" w14:textId="77777777" w:rsidR="00A25C4F" w:rsidRDefault="00A25C4F">
      <w:pPr>
        <w:rPr>
          <w:sz w:val="22"/>
          <w:szCs w:val="22"/>
        </w:rPr>
      </w:pPr>
    </w:p>
    <w:tbl>
      <w:tblPr>
        <w:tblStyle w:val="Grilledutableau"/>
        <w:tblW w:w="0" w:type="auto"/>
        <w:tblLook w:val="04A0" w:firstRow="1" w:lastRow="0" w:firstColumn="1" w:lastColumn="0" w:noHBand="0" w:noVBand="1"/>
      </w:tblPr>
      <w:tblGrid>
        <w:gridCol w:w="595"/>
        <w:gridCol w:w="534"/>
        <w:gridCol w:w="5829"/>
        <w:gridCol w:w="7034"/>
      </w:tblGrid>
      <w:tr w:rsidR="00D4483A" w:rsidRPr="00F9101E" w14:paraId="45B6426A" w14:textId="77777777" w:rsidTr="004F1A76">
        <w:tc>
          <w:tcPr>
            <w:tcW w:w="13992" w:type="dxa"/>
            <w:gridSpan w:val="4"/>
          </w:tcPr>
          <w:p w14:paraId="6138F30B" w14:textId="0E8BBF4E" w:rsidR="00D4483A" w:rsidRPr="004071FA" w:rsidRDefault="00D4483A" w:rsidP="004F1A76">
            <w:pPr>
              <w:rPr>
                <w:b/>
                <w:bCs/>
                <w:sz w:val="22"/>
                <w:szCs w:val="22"/>
              </w:rPr>
            </w:pPr>
            <w:r w:rsidRPr="004071FA">
              <w:rPr>
                <w:b/>
                <w:bCs/>
                <w:sz w:val="22"/>
                <w:szCs w:val="22"/>
              </w:rPr>
              <w:lastRenderedPageBreak/>
              <w:t xml:space="preserve">Section </w:t>
            </w:r>
            <w:r w:rsidR="005773C2">
              <w:rPr>
                <w:b/>
                <w:bCs/>
                <w:sz w:val="22"/>
                <w:szCs w:val="22"/>
              </w:rPr>
              <w:t>11     Surveillance et mesures administratives et disciplinaires</w:t>
            </w:r>
          </w:p>
          <w:p w14:paraId="60D0CF86" w14:textId="77777777" w:rsidR="00D4483A" w:rsidRPr="00F9101E" w:rsidRDefault="00D4483A" w:rsidP="004F1A76">
            <w:pPr>
              <w:rPr>
                <w:b/>
                <w:bCs/>
              </w:rPr>
            </w:pPr>
          </w:p>
        </w:tc>
      </w:tr>
      <w:tr w:rsidR="00D4483A" w:rsidRPr="00F9101E" w14:paraId="5C596510" w14:textId="77777777" w:rsidTr="004F1A76">
        <w:tc>
          <w:tcPr>
            <w:tcW w:w="595" w:type="dxa"/>
          </w:tcPr>
          <w:p w14:paraId="7C1EA436" w14:textId="77777777" w:rsidR="00D4483A" w:rsidRPr="00F9101E" w:rsidRDefault="00D4483A" w:rsidP="004F1A76">
            <w:pPr>
              <w:rPr>
                <w:b/>
                <w:bCs/>
              </w:rPr>
            </w:pPr>
            <w:r w:rsidRPr="00F9101E">
              <w:rPr>
                <w:b/>
                <w:bCs/>
              </w:rPr>
              <w:t>Art.</w:t>
            </w:r>
          </w:p>
        </w:tc>
        <w:tc>
          <w:tcPr>
            <w:tcW w:w="534" w:type="dxa"/>
          </w:tcPr>
          <w:p w14:paraId="3E8EA54D" w14:textId="77777777" w:rsidR="00D4483A" w:rsidRPr="00F9101E" w:rsidRDefault="00D4483A" w:rsidP="004F1A76">
            <w:pPr>
              <w:rPr>
                <w:b/>
                <w:bCs/>
              </w:rPr>
            </w:pPr>
            <w:r w:rsidRPr="00F9101E">
              <w:rPr>
                <w:b/>
                <w:bCs/>
              </w:rPr>
              <w:t>Al.</w:t>
            </w:r>
          </w:p>
        </w:tc>
        <w:tc>
          <w:tcPr>
            <w:tcW w:w="5829" w:type="dxa"/>
          </w:tcPr>
          <w:p w14:paraId="01685437" w14:textId="77777777" w:rsidR="00D4483A" w:rsidRPr="00F9101E" w:rsidRDefault="00D4483A" w:rsidP="004F1A76">
            <w:pPr>
              <w:rPr>
                <w:b/>
                <w:bCs/>
              </w:rPr>
            </w:pPr>
            <w:r w:rsidRPr="00F9101E">
              <w:rPr>
                <w:b/>
                <w:bCs/>
              </w:rPr>
              <w:t>Commentaires</w:t>
            </w:r>
          </w:p>
        </w:tc>
        <w:tc>
          <w:tcPr>
            <w:tcW w:w="7034" w:type="dxa"/>
          </w:tcPr>
          <w:p w14:paraId="1A738246" w14:textId="19AF50E0" w:rsidR="00D4483A" w:rsidRPr="00F9101E" w:rsidRDefault="003C0B31" w:rsidP="004F1A76">
            <w:pPr>
              <w:rPr>
                <w:b/>
                <w:bCs/>
              </w:rPr>
            </w:pPr>
            <w:r w:rsidRPr="003C0B31">
              <w:rPr>
                <w:b/>
                <w:bCs/>
              </w:rPr>
              <w:t>Modifications apportées à l’article</w:t>
            </w:r>
          </w:p>
        </w:tc>
      </w:tr>
      <w:tr w:rsidR="00D4483A" w:rsidRPr="00F9101E" w14:paraId="1D85B9E8" w14:textId="77777777" w:rsidTr="004F1A76">
        <w:tc>
          <w:tcPr>
            <w:tcW w:w="595" w:type="dxa"/>
          </w:tcPr>
          <w:p w14:paraId="6C86ED8A" w14:textId="2E10A1B9" w:rsidR="00D4483A" w:rsidRPr="00F9101E" w:rsidRDefault="005773C2" w:rsidP="004F1A76">
            <w:r>
              <w:t>44</w:t>
            </w:r>
          </w:p>
        </w:tc>
        <w:tc>
          <w:tcPr>
            <w:tcW w:w="534" w:type="dxa"/>
          </w:tcPr>
          <w:p w14:paraId="0F53BDAC" w14:textId="4F18FD17" w:rsidR="00D4483A" w:rsidRPr="00F9101E" w:rsidRDefault="005773C2" w:rsidP="004F1A76">
            <w:r>
              <w:t>1</w:t>
            </w:r>
          </w:p>
        </w:tc>
        <w:tc>
          <w:tcPr>
            <w:tcW w:w="5829" w:type="dxa"/>
          </w:tcPr>
          <w:p w14:paraId="1AA030C0" w14:textId="77777777" w:rsidR="00D4483A" w:rsidRPr="00F9101E" w:rsidRDefault="00D4483A" w:rsidP="004F1A76"/>
        </w:tc>
        <w:tc>
          <w:tcPr>
            <w:tcW w:w="7034" w:type="dxa"/>
          </w:tcPr>
          <w:p w14:paraId="0E7AF13F" w14:textId="258773F3" w:rsidR="00D4483A" w:rsidRPr="00F9101E" w:rsidRDefault="009E74EE" w:rsidP="004F1A76">
            <w:pPr>
              <w:rPr>
                <w:rFonts w:cs="Arial"/>
              </w:rPr>
            </w:pPr>
            <w:r>
              <w:rPr>
                <w:rFonts w:cs="Arial"/>
              </w:rPr>
              <w:t>Le service sanitaire compétent de l’armée désigne un service interne chargé d’assurer une surveillance</w:t>
            </w:r>
            <w:r w:rsidR="002616C3">
              <w:rPr>
                <w:rFonts w:cs="Arial"/>
              </w:rPr>
              <w:t xml:space="preserve"> </w:t>
            </w:r>
            <w:r w:rsidR="002616C3" w:rsidRPr="002616C3">
              <w:rPr>
                <w:rFonts w:cs="Arial"/>
                <w:strike/>
              </w:rPr>
              <w:t>appropriée</w:t>
            </w:r>
            <w:r>
              <w:rPr>
                <w:rFonts w:cs="Arial"/>
              </w:rPr>
              <w:t xml:space="preserve"> du personnel médical et des professionnels de la santé militaires ainsi que des établissements médicaux militaires. </w:t>
            </w:r>
          </w:p>
        </w:tc>
      </w:tr>
      <w:tr w:rsidR="009E74EE" w:rsidRPr="00F9101E" w14:paraId="67647341" w14:textId="77777777" w:rsidTr="004F1A76">
        <w:tc>
          <w:tcPr>
            <w:tcW w:w="595" w:type="dxa"/>
          </w:tcPr>
          <w:p w14:paraId="286E6DAE" w14:textId="71E6C9C6" w:rsidR="009E74EE" w:rsidRDefault="009E74EE" w:rsidP="004F1A76">
            <w:r>
              <w:t>44</w:t>
            </w:r>
          </w:p>
        </w:tc>
        <w:tc>
          <w:tcPr>
            <w:tcW w:w="534" w:type="dxa"/>
          </w:tcPr>
          <w:p w14:paraId="2F7280A8" w14:textId="3DD7A465" w:rsidR="009E74EE" w:rsidRDefault="009E74EE" w:rsidP="004F1A76">
            <w:r>
              <w:t>2</w:t>
            </w:r>
          </w:p>
        </w:tc>
        <w:tc>
          <w:tcPr>
            <w:tcW w:w="5829" w:type="dxa"/>
          </w:tcPr>
          <w:p w14:paraId="56BE7BB4" w14:textId="167CA0AD" w:rsidR="009E74EE" w:rsidRPr="00F9101E" w:rsidRDefault="00045365" w:rsidP="004F1A76">
            <w:r>
              <w:t xml:space="preserve">Indiquer </w:t>
            </w:r>
            <w:r w:rsidR="009704F5">
              <w:t>dans le rapport explicatif quelle surveillance pourrait être mise en place avec les établissements civils utilisés par le service sanitaire</w:t>
            </w:r>
            <w:r w:rsidR="0043620F">
              <w:t xml:space="preserve"> ainsi que les modalités de coordination avec les autorités cantonales.</w:t>
            </w:r>
            <w:r w:rsidR="009704F5">
              <w:t xml:space="preserve"> </w:t>
            </w:r>
          </w:p>
        </w:tc>
        <w:tc>
          <w:tcPr>
            <w:tcW w:w="7034" w:type="dxa"/>
          </w:tcPr>
          <w:p w14:paraId="649C9DF4" w14:textId="28BD79B0" w:rsidR="009E74EE" w:rsidRDefault="009E74EE" w:rsidP="004F1A76">
            <w:pPr>
              <w:rPr>
                <w:rFonts w:cs="Arial"/>
              </w:rPr>
            </w:pPr>
            <w:r>
              <w:rPr>
                <w:rFonts w:cs="Arial"/>
              </w:rPr>
              <w:t xml:space="preserve">Le service interne désigné conformément à l’al. 1 exerce une surveillance sur les personnes et les établissements </w:t>
            </w:r>
            <w:r w:rsidRPr="00676898">
              <w:rPr>
                <w:rFonts w:cs="Arial"/>
              </w:rPr>
              <w:t>concernés</w:t>
            </w:r>
            <w:r w:rsidR="00676898" w:rsidRPr="00676898">
              <w:rPr>
                <w:rFonts w:cs="Arial"/>
                <w:strike/>
              </w:rPr>
              <w:t xml:space="preserve"> sans être lié par des instructions</w:t>
            </w:r>
            <w:r w:rsidR="002616C3" w:rsidRPr="00676898">
              <w:rPr>
                <w:rFonts w:cs="Arial"/>
                <w:color w:val="FF0000"/>
              </w:rPr>
              <w:t xml:space="preserve"> </w:t>
            </w:r>
            <w:r w:rsidRPr="00676898">
              <w:rPr>
                <w:rFonts w:cs="Arial"/>
                <w:color w:val="FF0000"/>
              </w:rPr>
              <w:t>de manière indépendante</w:t>
            </w:r>
            <w:r>
              <w:rPr>
                <w:rFonts w:cs="Arial"/>
              </w:rPr>
              <w:t>.</w:t>
            </w:r>
          </w:p>
        </w:tc>
      </w:tr>
      <w:tr w:rsidR="003D4321" w:rsidRPr="00F9101E" w14:paraId="78DBF428" w14:textId="77777777" w:rsidTr="004F1A76">
        <w:tc>
          <w:tcPr>
            <w:tcW w:w="595" w:type="dxa"/>
          </w:tcPr>
          <w:p w14:paraId="6C1524F7" w14:textId="180407C0" w:rsidR="003D4321" w:rsidRDefault="003D4321" w:rsidP="004F1A76">
            <w:r>
              <w:t>44</w:t>
            </w:r>
          </w:p>
        </w:tc>
        <w:tc>
          <w:tcPr>
            <w:tcW w:w="534" w:type="dxa"/>
          </w:tcPr>
          <w:p w14:paraId="0237F76B" w14:textId="6DAA1C93" w:rsidR="003D4321" w:rsidRDefault="003D4321" w:rsidP="004F1A76">
            <w:r>
              <w:t>3</w:t>
            </w:r>
          </w:p>
        </w:tc>
        <w:tc>
          <w:tcPr>
            <w:tcW w:w="5829" w:type="dxa"/>
          </w:tcPr>
          <w:p w14:paraId="2E260032" w14:textId="4E92BB48" w:rsidR="003D4321" w:rsidRDefault="003D4321" w:rsidP="004F1A76">
            <w:r>
              <w:t xml:space="preserve">Let. </w:t>
            </w:r>
            <w:proofErr w:type="gramStart"/>
            <w:r>
              <w:t>b</w:t>
            </w:r>
            <w:proofErr w:type="gramEnd"/>
            <w:r>
              <w:t xml:space="preserve"> : </w:t>
            </w:r>
            <w:r w:rsidR="00833F8D">
              <w:t>clarifier</w:t>
            </w:r>
            <w:r>
              <w:t xml:space="preserve"> le terme « remise de documents ».</w:t>
            </w:r>
          </w:p>
          <w:p w14:paraId="381B75B3" w14:textId="59069EB7" w:rsidR="003D4321" w:rsidRPr="00F9101E" w:rsidRDefault="00833F8D" w:rsidP="004F1A76">
            <w:r>
              <w:t xml:space="preserve">Si les documents en question sont des documents médicaux concernant des patients, leur transmission requiert une autorisation préalable. Cette autorisation peut provenir soit du patient concerné, soit de l’autorité (SG du DDPS), ou les documents doivent être transmis sous une forme anonymisée. </w:t>
            </w:r>
          </w:p>
        </w:tc>
        <w:tc>
          <w:tcPr>
            <w:tcW w:w="7034" w:type="dxa"/>
          </w:tcPr>
          <w:p w14:paraId="107F25DB" w14:textId="77777777" w:rsidR="003D4321" w:rsidRDefault="003D4321" w:rsidP="004F1A76">
            <w:pPr>
              <w:rPr>
                <w:rFonts w:cs="Arial"/>
              </w:rPr>
            </w:pPr>
          </w:p>
        </w:tc>
      </w:tr>
      <w:tr w:rsidR="00833F8D" w:rsidRPr="00F9101E" w14:paraId="38B2BAE3" w14:textId="77777777" w:rsidTr="004F1A76">
        <w:tc>
          <w:tcPr>
            <w:tcW w:w="595" w:type="dxa"/>
          </w:tcPr>
          <w:p w14:paraId="589416A7" w14:textId="2CD8FC19" w:rsidR="00833F8D" w:rsidRDefault="00833F8D" w:rsidP="004F1A76">
            <w:r>
              <w:t>46</w:t>
            </w:r>
          </w:p>
        </w:tc>
        <w:tc>
          <w:tcPr>
            <w:tcW w:w="534" w:type="dxa"/>
          </w:tcPr>
          <w:p w14:paraId="4435F2BD" w14:textId="083AB9E9" w:rsidR="00833F8D" w:rsidRDefault="00833F8D" w:rsidP="00833F8D">
            <w:r>
              <w:t>1</w:t>
            </w:r>
          </w:p>
        </w:tc>
        <w:tc>
          <w:tcPr>
            <w:tcW w:w="5829" w:type="dxa"/>
          </w:tcPr>
          <w:p w14:paraId="64AE0FFA" w14:textId="369BA8F6" w:rsidR="00833F8D" w:rsidRDefault="00833F8D" w:rsidP="00833F8D">
            <w:r>
              <w:t xml:space="preserve">La précision des mesures disciplinaires prévues par des dispositions ou des contrats spéciaux ne suffit pas à définir les mesures disciplinaires. Il faudrait ici lister les mesures. Ce d’autant plus que le fait de pouvoir informer les autorités sanitaires civiles peut être considérer comme une mesure en soi. </w:t>
            </w:r>
          </w:p>
        </w:tc>
        <w:tc>
          <w:tcPr>
            <w:tcW w:w="7034" w:type="dxa"/>
          </w:tcPr>
          <w:p w14:paraId="04A7E96D" w14:textId="77777777" w:rsidR="00833F8D" w:rsidRDefault="00833F8D" w:rsidP="004F1A76">
            <w:pPr>
              <w:rPr>
                <w:rFonts w:cs="Arial"/>
              </w:rPr>
            </w:pPr>
          </w:p>
        </w:tc>
      </w:tr>
      <w:tr w:rsidR="00833F8D" w:rsidRPr="00F9101E" w14:paraId="6C912638" w14:textId="77777777" w:rsidTr="004F1A76">
        <w:tc>
          <w:tcPr>
            <w:tcW w:w="595" w:type="dxa"/>
          </w:tcPr>
          <w:p w14:paraId="5C48D3D0" w14:textId="5C5A1DEB" w:rsidR="00833F8D" w:rsidRDefault="00833F8D" w:rsidP="004F1A76">
            <w:r>
              <w:t>46</w:t>
            </w:r>
          </w:p>
        </w:tc>
        <w:tc>
          <w:tcPr>
            <w:tcW w:w="534" w:type="dxa"/>
          </w:tcPr>
          <w:p w14:paraId="70F2C5CD" w14:textId="4FFAC495" w:rsidR="00833F8D" w:rsidRDefault="00833F8D" w:rsidP="004F1A76">
            <w:r>
              <w:t>2</w:t>
            </w:r>
          </w:p>
        </w:tc>
        <w:tc>
          <w:tcPr>
            <w:tcW w:w="5829" w:type="dxa"/>
          </w:tcPr>
          <w:p w14:paraId="2C9B3140" w14:textId="276BA945" w:rsidR="00833F8D" w:rsidRDefault="00833F8D" w:rsidP="004F1A76">
            <w:r>
              <w:t>Il faut aussi prévoir cette information pour les cas où le professionnel de la santé qui a ou a eu une activité au sein du système de santé militaire avec des limitations dépose une demande d’autorisation dans le civil (pas seulement les cas où il exerce simultanément en milieu militaire et civil).</w:t>
            </w:r>
          </w:p>
        </w:tc>
        <w:tc>
          <w:tcPr>
            <w:tcW w:w="7034" w:type="dxa"/>
          </w:tcPr>
          <w:p w14:paraId="58BD2DC1" w14:textId="77777777" w:rsidR="00833F8D" w:rsidRDefault="00833F8D" w:rsidP="004F1A76">
            <w:pPr>
              <w:rPr>
                <w:rFonts w:cs="Arial"/>
              </w:rPr>
            </w:pPr>
          </w:p>
        </w:tc>
      </w:tr>
    </w:tbl>
    <w:p w14:paraId="3F8255CF" w14:textId="77777777" w:rsidR="005773C2" w:rsidRDefault="005773C2">
      <w:pPr>
        <w:rPr>
          <w:sz w:val="22"/>
          <w:szCs w:val="22"/>
        </w:rPr>
      </w:pPr>
    </w:p>
    <w:p w14:paraId="1E35D49E" w14:textId="77777777" w:rsidR="00833F8D" w:rsidRDefault="00833F8D">
      <w:pPr>
        <w:rPr>
          <w:sz w:val="22"/>
          <w:szCs w:val="22"/>
        </w:rPr>
      </w:pPr>
    </w:p>
    <w:p w14:paraId="04BBA296" w14:textId="688B3522" w:rsidR="00247631" w:rsidRPr="00247631" w:rsidRDefault="00247631">
      <w:pPr>
        <w:rPr>
          <w:b/>
          <w:bCs/>
          <w:sz w:val="22"/>
          <w:szCs w:val="22"/>
        </w:rPr>
      </w:pPr>
      <w:r>
        <w:rPr>
          <w:sz w:val="22"/>
          <w:szCs w:val="22"/>
        </w:rPr>
        <w:tab/>
      </w:r>
      <w:r>
        <w:rPr>
          <w:sz w:val="22"/>
          <w:szCs w:val="22"/>
        </w:rPr>
        <w:tab/>
      </w:r>
    </w:p>
    <w:sectPr w:rsidR="00247631" w:rsidRPr="00247631" w:rsidSect="008D41BC">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1385" w14:textId="77777777" w:rsidR="00247631" w:rsidRDefault="00247631" w:rsidP="00247631">
      <w:r>
        <w:separator/>
      </w:r>
    </w:p>
  </w:endnote>
  <w:endnote w:type="continuationSeparator" w:id="0">
    <w:p w14:paraId="19E56DD6" w14:textId="77777777" w:rsidR="00247631" w:rsidRDefault="00247631" w:rsidP="0024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92634"/>
      <w:docPartObj>
        <w:docPartGallery w:val="Page Numbers (Bottom of Page)"/>
        <w:docPartUnique/>
      </w:docPartObj>
    </w:sdtPr>
    <w:sdtEndPr/>
    <w:sdtContent>
      <w:p w14:paraId="6D3ED194" w14:textId="6E49A46A" w:rsidR="00E52545" w:rsidRDefault="00E52545">
        <w:pPr>
          <w:pStyle w:val="Pieddepage"/>
          <w:jc w:val="right"/>
        </w:pPr>
        <w:r>
          <w:fldChar w:fldCharType="begin"/>
        </w:r>
        <w:r>
          <w:instrText>PAGE   \* MERGEFORMAT</w:instrText>
        </w:r>
        <w:r>
          <w:fldChar w:fldCharType="separate"/>
        </w:r>
        <w:r>
          <w:t>2</w:t>
        </w:r>
        <w:r>
          <w:fldChar w:fldCharType="end"/>
        </w:r>
      </w:p>
    </w:sdtContent>
  </w:sdt>
  <w:p w14:paraId="414B5C7B" w14:textId="77777777" w:rsidR="00E52545" w:rsidRDefault="00E525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D262" w14:textId="77777777" w:rsidR="00247631" w:rsidRDefault="00247631" w:rsidP="00247631">
      <w:r>
        <w:separator/>
      </w:r>
    </w:p>
  </w:footnote>
  <w:footnote w:type="continuationSeparator" w:id="0">
    <w:p w14:paraId="60645D82" w14:textId="77777777" w:rsidR="00247631" w:rsidRDefault="00247631" w:rsidP="0024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4309" w14:textId="017C3FA4" w:rsidR="00247631" w:rsidRDefault="00247631">
    <w:pPr>
      <w:pStyle w:val="En-tte"/>
    </w:pPr>
  </w:p>
  <w:p w14:paraId="1B2EAF87" w14:textId="77777777" w:rsidR="00247631" w:rsidRDefault="00247631" w:rsidP="00247631"/>
  <w:p w14:paraId="17AD40D3" w14:textId="5F0FF022" w:rsidR="00247631" w:rsidRDefault="00247631">
    <w:pPr>
      <w:pStyle w:val="En-tte"/>
    </w:pPr>
  </w:p>
  <w:p w14:paraId="5D5DF5A0" w14:textId="77777777" w:rsidR="00247631" w:rsidRDefault="002476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434"/>
    <w:multiLevelType w:val="hybridMultilevel"/>
    <w:tmpl w:val="459AB9C0"/>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BF205EB"/>
    <w:multiLevelType w:val="hybridMultilevel"/>
    <w:tmpl w:val="6E02C5AC"/>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1AB003AE"/>
    <w:multiLevelType w:val="hybridMultilevel"/>
    <w:tmpl w:val="1A4E6EFE"/>
    <w:lvl w:ilvl="0" w:tplc="99BA22AE">
      <w:start w:val="1"/>
      <w:numFmt w:val="lowerLetter"/>
      <w:lvlText w:val="%1."/>
      <w:lvlJc w:val="left"/>
      <w:pPr>
        <w:ind w:left="720" w:hanging="360"/>
      </w:pPr>
      <w:rPr>
        <w:rFonts w:hint="default"/>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730E5A"/>
    <w:multiLevelType w:val="hybridMultilevel"/>
    <w:tmpl w:val="8CBEC95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6425C76"/>
    <w:multiLevelType w:val="hybridMultilevel"/>
    <w:tmpl w:val="D1147CB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B6C18ED"/>
    <w:multiLevelType w:val="hybridMultilevel"/>
    <w:tmpl w:val="DCFEA17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78C1BF3"/>
    <w:multiLevelType w:val="hybridMultilevel"/>
    <w:tmpl w:val="D300440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1F27405"/>
    <w:multiLevelType w:val="hybridMultilevel"/>
    <w:tmpl w:val="16809174"/>
    <w:lvl w:ilvl="0" w:tplc="F27AE83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6494F1D"/>
    <w:multiLevelType w:val="hybridMultilevel"/>
    <w:tmpl w:val="95E2778E"/>
    <w:lvl w:ilvl="0" w:tplc="100C0015">
      <w:start w:val="1"/>
      <w:numFmt w:val="upp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C66468B"/>
    <w:multiLevelType w:val="hybridMultilevel"/>
    <w:tmpl w:val="072211C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67D6468"/>
    <w:multiLevelType w:val="hybridMultilevel"/>
    <w:tmpl w:val="751C58E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771206">
    <w:abstractNumId w:val="0"/>
  </w:num>
  <w:num w:numId="2" w16cid:durableId="741876424">
    <w:abstractNumId w:val="1"/>
  </w:num>
  <w:num w:numId="3" w16cid:durableId="904990845">
    <w:abstractNumId w:val="8"/>
  </w:num>
  <w:num w:numId="4" w16cid:durableId="662390669">
    <w:abstractNumId w:val="5"/>
  </w:num>
  <w:num w:numId="5" w16cid:durableId="2056006777">
    <w:abstractNumId w:val="6"/>
  </w:num>
  <w:num w:numId="6" w16cid:durableId="412706856">
    <w:abstractNumId w:val="4"/>
  </w:num>
  <w:num w:numId="7" w16cid:durableId="1857963672">
    <w:abstractNumId w:val="9"/>
  </w:num>
  <w:num w:numId="8" w16cid:durableId="1978876815">
    <w:abstractNumId w:val="10"/>
  </w:num>
  <w:num w:numId="9" w16cid:durableId="2142337769">
    <w:abstractNumId w:val="3"/>
  </w:num>
  <w:num w:numId="10" w16cid:durableId="1349675348">
    <w:abstractNumId w:val="7"/>
  </w:num>
  <w:num w:numId="11" w16cid:durableId="78735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31"/>
    <w:rsid w:val="00020B57"/>
    <w:rsid w:val="00027D09"/>
    <w:rsid w:val="00030782"/>
    <w:rsid w:val="00035F52"/>
    <w:rsid w:val="000417EA"/>
    <w:rsid w:val="00045365"/>
    <w:rsid w:val="00071370"/>
    <w:rsid w:val="00076BB7"/>
    <w:rsid w:val="000902DB"/>
    <w:rsid w:val="00094612"/>
    <w:rsid w:val="000A0062"/>
    <w:rsid w:val="00106613"/>
    <w:rsid w:val="00145F8E"/>
    <w:rsid w:val="0015068D"/>
    <w:rsid w:val="00151886"/>
    <w:rsid w:val="001A0CCF"/>
    <w:rsid w:val="001A1045"/>
    <w:rsid w:val="00233749"/>
    <w:rsid w:val="00247631"/>
    <w:rsid w:val="002616C3"/>
    <w:rsid w:val="002775E6"/>
    <w:rsid w:val="002B12C6"/>
    <w:rsid w:val="002B68E2"/>
    <w:rsid w:val="002C6E94"/>
    <w:rsid w:val="003071C7"/>
    <w:rsid w:val="0034105A"/>
    <w:rsid w:val="00353FA9"/>
    <w:rsid w:val="00363AAC"/>
    <w:rsid w:val="00371FAA"/>
    <w:rsid w:val="003A7616"/>
    <w:rsid w:val="003C0B31"/>
    <w:rsid w:val="003D4321"/>
    <w:rsid w:val="004071FA"/>
    <w:rsid w:val="0043537A"/>
    <w:rsid w:val="0043620F"/>
    <w:rsid w:val="00493449"/>
    <w:rsid w:val="004A1B42"/>
    <w:rsid w:val="004C0BF7"/>
    <w:rsid w:val="004D0BA1"/>
    <w:rsid w:val="004F174D"/>
    <w:rsid w:val="004F3EE9"/>
    <w:rsid w:val="00552BC3"/>
    <w:rsid w:val="00564FC1"/>
    <w:rsid w:val="005773C2"/>
    <w:rsid w:val="00583E43"/>
    <w:rsid w:val="00590960"/>
    <w:rsid w:val="005B23AC"/>
    <w:rsid w:val="005B27DC"/>
    <w:rsid w:val="005B31D7"/>
    <w:rsid w:val="005B65F6"/>
    <w:rsid w:val="005F14E0"/>
    <w:rsid w:val="00610DB7"/>
    <w:rsid w:val="00622242"/>
    <w:rsid w:val="006432F2"/>
    <w:rsid w:val="00676898"/>
    <w:rsid w:val="006B0C91"/>
    <w:rsid w:val="006B134A"/>
    <w:rsid w:val="006D2640"/>
    <w:rsid w:val="00706679"/>
    <w:rsid w:val="007303C2"/>
    <w:rsid w:val="007572AF"/>
    <w:rsid w:val="007714C2"/>
    <w:rsid w:val="008027BE"/>
    <w:rsid w:val="0081344B"/>
    <w:rsid w:val="008223E9"/>
    <w:rsid w:val="00825D09"/>
    <w:rsid w:val="00833F8D"/>
    <w:rsid w:val="00873E31"/>
    <w:rsid w:val="008B0CDA"/>
    <w:rsid w:val="008B49F6"/>
    <w:rsid w:val="008D41BC"/>
    <w:rsid w:val="00911FC0"/>
    <w:rsid w:val="00927A36"/>
    <w:rsid w:val="00932116"/>
    <w:rsid w:val="00963C9D"/>
    <w:rsid w:val="009674E9"/>
    <w:rsid w:val="009704F5"/>
    <w:rsid w:val="00996CC6"/>
    <w:rsid w:val="009D16F4"/>
    <w:rsid w:val="009D42F9"/>
    <w:rsid w:val="009E0988"/>
    <w:rsid w:val="009E45D2"/>
    <w:rsid w:val="009E74EE"/>
    <w:rsid w:val="009F7B25"/>
    <w:rsid w:val="00A00969"/>
    <w:rsid w:val="00A043A6"/>
    <w:rsid w:val="00A23EB9"/>
    <w:rsid w:val="00A25C4F"/>
    <w:rsid w:val="00A32A2A"/>
    <w:rsid w:val="00A341F3"/>
    <w:rsid w:val="00A52B55"/>
    <w:rsid w:val="00A758F6"/>
    <w:rsid w:val="00A825FC"/>
    <w:rsid w:val="00AB46D6"/>
    <w:rsid w:val="00AE11DE"/>
    <w:rsid w:val="00B05184"/>
    <w:rsid w:val="00B110FF"/>
    <w:rsid w:val="00B317ED"/>
    <w:rsid w:val="00B4799C"/>
    <w:rsid w:val="00B63403"/>
    <w:rsid w:val="00B81A7E"/>
    <w:rsid w:val="00B970D5"/>
    <w:rsid w:val="00BB25A7"/>
    <w:rsid w:val="00BE4678"/>
    <w:rsid w:val="00C02796"/>
    <w:rsid w:val="00C22CF8"/>
    <w:rsid w:val="00C530FD"/>
    <w:rsid w:val="00CA194F"/>
    <w:rsid w:val="00CD7C1C"/>
    <w:rsid w:val="00CE63A3"/>
    <w:rsid w:val="00D13191"/>
    <w:rsid w:val="00D4483A"/>
    <w:rsid w:val="00D6133D"/>
    <w:rsid w:val="00D77315"/>
    <w:rsid w:val="00D85699"/>
    <w:rsid w:val="00DC73C6"/>
    <w:rsid w:val="00E104D3"/>
    <w:rsid w:val="00E42D5F"/>
    <w:rsid w:val="00E52545"/>
    <w:rsid w:val="00E52BA0"/>
    <w:rsid w:val="00E5472B"/>
    <w:rsid w:val="00E54F16"/>
    <w:rsid w:val="00E84928"/>
    <w:rsid w:val="00EA0BD0"/>
    <w:rsid w:val="00F01089"/>
    <w:rsid w:val="00F16F96"/>
    <w:rsid w:val="00F9101E"/>
    <w:rsid w:val="00F962A9"/>
    <w:rsid w:val="00FC4F46"/>
    <w:rsid w:val="00FD7DA1"/>
    <w:rsid w:val="00FF4F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31970D"/>
  <w15:chartTrackingRefBased/>
  <w15:docId w15:val="{9A7946A0-62E4-4910-AE58-C8BFBB52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31"/>
    <w:pPr>
      <w:spacing w:after="0" w:line="240" w:lineRule="auto"/>
    </w:pPr>
    <w:rPr>
      <w:rFonts w:ascii="Arial" w:eastAsia="Times New Roman" w:hAnsi="Arial" w:cs="Times New Roman"/>
      <w:kern w:val="0"/>
      <w:sz w:val="20"/>
      <w:szCs w:val="20"/>
      <w:lang w:val="fr-FR" w:eastAsia="fr-CH"/>
      <w14:ligatures w14:val="none"/>
    </w:rPr>
  </w:style>
  <w:style w:type="paragraph" w:styleId="Titre3">
    <w:name w:val="heading 3"/>
    <w:basedOn w:val="Normal"/>
    <w:next w:val="Normal"/>
    <w:link w:val="Titre3Car"/>
    <w:qFormat/>
    <w:rsid w:val="00247631"/>
    <w:pPr>
      <w:keepNext/>
      <w:spacing w:before="60" w:after="60"/>
      <w:jc w:val="both"/>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247631"/>
    <w:rPr>
      <w:rFonts w:ascii="Arial" w:eastAsia="Times New Roman" w:hAnsi="Arial" w:cs="Times New Roman"/>
      <w:b/>
      <w:i/>
      <w:kern w:val="0"/>
      <w:sz w:val="20"/>
      <w:szCs w:val="20"/>
      <w:lang w:val="fr-FR" w:eastAsia="fr-CH"/>
      <w14:ligatures w14:val="none"/>
    </w:rPr>
  </w:style>
  <w:style w:type="paragraph" w:styleId="En-tte">
    <w:name w:val="header"/>
    <w:basedOn w:val="Normal"/>
    <w:link w:val="En-tteCar"/>
    <w:uiPriority w:val="99"/>
    <w:unhideWhenUsed/>
    <w:rsid w:val="00247631"/>
    <w:pPr>
      <w:tabs>
        <w:tab w:val="center" w:pos="4536"/>
        <w:tab w:val="right" w:pos="9072"/>
      </w:tabs>
    </w:pPr>
  </w:style>
  <w:style w:type="character" w:customStyle="1" w:styleId="En-tteCar">
    <w:name w:val="En-tête Car"/>
    <w:basedOn w:val="Policepardfaut"/>
    <w:link w:val="En-tte"/>
    <w:uiPriority w:val="99"/>
    <w:rsid w:val="00247631"/>
    <w:rPr>
      <w:rFonts w:ascii="Arial" w:eastAsia="Times New Roman" w:hAnsi="Arial" w:cs="Times New Roman"/>
      <w:kern w:val="0"/>
      <w:sz w:val="20"/>
      <w:szCs w:val="20"/>
      <w:lang w:val="fr-FR" w:eastAsia="fr-CH"/>
      <w14:ligatures w14:val="none"/>
    </w:rPr>
  </w:style>
  <w:style w:type="paragraph" w:styleId="Pieddepage">
    <w:name w:val="footer"/>
    <w:basedOn w:val="Normal"/>
    <w:link w:val="PieddepageCar"/>
    <w:uiPriority w:val="99"/>
    <w:unhideWhenUsed/>
    <w:rsid w:val="00247631"/>
    <w:pPr>
      <w:tabs>
        <w:tab w:val="center" w:pos="4536"/>
        <w:tab w:val="right" w:pos="9072"/>
      </w:tabs>
    </w:pPr>
  </w:style>
  <w:style w:type="character" w:customStyle="1" w:styleId="PieddepageCar">
    <w:name w:val="Pied de page Car"/>
    <w:basedOn w:val="Policepardfaut"/>
    <w:link w:val="Pieddepage"/>
    <w:uiPriority w:val="99"/>
    <w:rsid w:val="00247631"/>
    <w:rPr>
      <w:rFonts w:ascii="Arial" w:eastAsia="Times New Roman" w:hAnsi="Arial" w:cs="Times New Roman"/>
      <w:kern w:val="0"/>
      <w:sz w:val="20"/>
      <w:szCs w:val="20"/>
      <w:lang w:val="fr-FR" w:eastAsia="fr-CH"/>
      <w14:ligatures w14:val="none"/>
    </w:rPr>
  </w:style>
  <w:style w:type="character" w:styleId="Lienhypertexte">
    <w:name w:val="Hyperlink"/>
    <w:basedOn w:val="Policepardfaut"/>
    <w:uiPriority w:val="99"/>
    <w:unhideWhenUsed/>
    <w:rsid w:val="00247631"/>
    <w:rPr>
      <w:color w:val="0563C1" w:themeColor="hyperlink"/>
      <w:u w:val="single"/>
    </w:rPr>
  </w:style>
  <w:style w:type="character" w:styleId="Mentionnonrsolue">
    <w:name w:val="Unresolved Mention"/>
    <w:basedOn w:val="Policepardfaut"/>
    <w:uiPriority w:val="99"/>
    <w:semiHidden/>
    <w:unhideWhenUsed/>
    <w:rsid w:val="00247631"/>
    <w:rPr>
      <w:color w:val="605E5C"/>
      <w:shd w:val="clear" w:color="auto" w:fill="E1DFDD"/>
    </w:rPr>
  </w:style>
  <w:style w:type="table" w:styleId="Grilledutableau">
    <w:name w:val="Table Grid"/>
    <w:basedOn w:val="TableauNormal"/>
    <w:uiPriority w:val="39"/>
    <w:rsid w:val="00B1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EB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phedeliste">
    <w:name w:val="List Paragraph"/>
    <w:basedOn w:val="Normal"/>
    <w:uiPriority w:val="34"/>
    <w:qFormat/>
    <w:rsid w:val="00A23EB9"/>
    <w:pPr>
      <w:ind w:left="720"/>
      <w:contextualSpacing/>
    </w:pPr>
  </w:style>
  <w:style w:type="paragraph" w:styleId="Rvision">
    <w:name w:val="Revision"/>
    <w:hidden/>
    <w:uiPriority w:val="99"/>
    <w:semiHidden/>
    <w:rsid w:val="00A00969"/>
    <w:pPr>
      <w:spacing w:after="0" w:line="240" w:lineRule="auto"/>
    </w:pPr>
    <w:rPr>
      <w:rFonts w:ascii="Arial" w:eastAsia="Times New Roman" w:hAnsi="Arial" w:cs="Times New Roman"/>
      <w:kern w:val="0"/>
      <w:sz w:val="20"/>
      <w:szCs w:val="20"/>
      <w:lang w:val="fr-FR" w:eastAsia="fr-CH"/>
      <w14:ligatures w14:val="none"/>
    </w:rPr>
  </w:style>
  <w:style w:type="paragraph" w:styleId="Sansinterligne">
    <w:name w:val="No Spacing"/>
    <w:uiPriority w:val="1"/>
    <w:qFormat/>
    <w:rsid w:val="004D0BA1"/>
    <w:pPr>
      <w:spacing w:after="0" w:line="240" w:lineRule="auto"/>
    </w:pPr>
    <w:rPr>
      <w:kern w:val="0"/>
      <w14:ligatures w14:val="none"/>
    </w:rPr>
  </w:style>
  <w:style w:type="character" w:styleId="Lienhypertextesuivivisit">
    <w:name w:val="FollowedHyperlink"/>
    <w:basedOn w:val="Policepardfaut"/>
    <w:uiPriority w:val="99"/>
    <w:semiHidden/>
    <w:unhideWhenUsed/>
    <w:rsid w:val="00EA0B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christine.grouzmann@vd.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3945</Words>
  <Characters>21698</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 Laure</dc:creator>
  <cp:keywords/>
  <dc:description/>
  <cp:lastModifiedBy>Savoyen Corinne</cp:lastModifiedBy>
  <cp:revision>2</cp:revision>
  <cp:lastPrinted>2025-03-06T09:01:00Z</cp:lastPrinted>
  <dcterms:created xsi:type="dcterms:W3CDTF">2025-03-06T09:03:00Z</dcterms:created>
  <dcterms:modified xsi:type="dcterms:W3CDTF">2025-03-06T09:03:00Z</dcterms:modified>
</cp:coreProperties>
</file>