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4516" w14:textId="77777777" w:rsidR="001E3D84" w:rsidRDefault="001E3D84">
      <w:pPr>
        <w:rPr>
          <w:b/>
          <w:bCs/>
          <w:sz w:val="24"/>
          <w:szCs w:val="24"/>
        </w:rPr>
      </w:pPr>
    </w:p>
    <w:p w14:paraId="46877129" w14:textId="2EBABB9D" w:rsidR="00415C86" w:rsidRPr="002C5670" w:rsidRDefault="002C5670">
      <w:pPr>
        <w:rPr>
          <w:b/>
          <w:bCs/>
          <w:sz w:val="24"/>
          <w:szCs w:val="24"/>
        </w:rPr>
      </w:pPr>
      <w:r w:rsidRPr="002C5670">
        <w:rPr>
          <w:b/>
          <w:bCs/>
          <w:sz w:val="24"/>
          <w:szCs w:val="24"/>
        </w:rPr>
        <w:t xml:space="preserve">Annexe : Commentaires liés aux articles </w:t>
      </w:r>
    </w:p>
    <w:tbl>
      <w:tblPr>
        <w:tblStyle w:val="Grilledutableau"/>
        <w:tblW w:w="14029" w:type="dxa"/>
        <w:tblLook w:val="04A0" w:firstRow="1" w:lastRow="0" w:firstColumn="1" w:lastColumn="0" w:noHBand="0" w:noVBand="1"/>
      </w:tblPr>
      <w:tblGrid>
        <w:gridCol w:w="2972"/>
        <w:gridCol w:w="11057"/>
      </w:tblGrid>
      <w:tr w:rsidR="002C5670" w14:paraId="5313325E" w14:textId="77777777" w:rsidTr="002C5670">
        <w:tc>
          <w:tcPr>
            <w:tcW w:w="2972" w:type="dxa"/>
            <w:shd w:val="clear" w:color="auto" w:fill="F2F2F2" w:themeFill="background1" w:themeFillShade="F2"/>
          </w:tcPr>
          <w:p w14:paraId="7A94BD3E" w14:textId="635E8B96" w:rsidR="002C5670" w:rsidRPr="002C5670" w:rsidRDefault="002C5670" w:rsidP="00C90B3A">
            <w:pPr>
              <w:spacing w:before="120" w:after="120"/>
              <w:rPr>
                <w:b/>
                <w:bCs/>
              </w:rPr>
            </w:pPr>
            <w:r w:rsidRPr="002C5670">
              <w:rPr>
                <w:b/>
                <w:bCs/>
              </w:rPr>
              <w:t>Dispositions légales</w:t>
            </w:r>
          </w:p>
        </w:tc>
        <w:tc>
          <w:tcPr>
            <w:tcW w:w="11057" w:type="dxa"/>
            <w:shd w:val="clear" w:color="auto" w:fill="F2F2F2" w:themeFill="background1" w:themeFillShade="F2"/>
          </w:tcPr>
          <w:p w14:paraId="372CF72C" w14:textId="70E3B5DC" w:rsidR="002C5670" w:rsidRPr="002C5670" w:rsidRDefault="002C5670" w:rsidP="00C90B3A">
            <w:pPr>
              <w:spacing w:before="120" w:after="120"/>
              <w:rPr>
                <w:b/>
                <w:bCs/>
              </w:rPr>
            </w:pPr>
            <w:r w:rsidRPr="002C5670">
              <w:rPr>
                <w:b/>
                <w:bCs/>
              </w:rPr>
              <w:t xml:space="preserve">Commentaires </w:t>
            </w:r>
          </w:p>
        </w:tc>
      </w:tr>
      <w:tr w:rsidR="00F2646A" w14:paraId="284AA1F2" w14:textId="77777777" w:rsidTr="002C5670">
        <w:tc>
          <w:tcPr>
            <w:tcW w:w="2972" w:type="dxa"/>
          </w:tcPr>
          <w:p w14:paraId="59492E26" w14:textId="6AC77955" w:rsidR="00F2646A" w:rsidRDefault="00F2646A" w:rsidP="00C90B3A">
            <w:pPr>
              <w:spacing w:before="120" w:after="120"/>
            </w:pPr>
            <w:r>
              <w:t xml:space="preserve">Art. 9 al. 3 </w:t>
            </w:r>
            <w:proofErr w:type="spellStart"/>
            <w:r>
              <w:t>LPPCi</w:t>
            </w:r>
            <w:proofErr w:type="spellEnd"/>
          </w:p>
        </w:tc>
        <w:tc>
          <w:tcPr>
            <w:tcW w:w="11057" w:type="dxa"/>
          </w:tcPr>
          <w:p w14:paraId="55CB9182" w14:textId="7AA12FA0" w:rsidR="008616CA" w:rsidRDefault="008616CA" w:rsidP="008616CA">
            <w:pPr>
              <w:spacing w:before="120" w:after="120"/>
              <w:jc w:val="both"/>
            </w:pPr>
            <w:r>
              <w:t>La stratégie multicanaux pour l’information, l’alerte et l’alarme soumise à consultation se concentre principalement sur des aspects d’ingénierie, d’organisation et de financement. Les populations en situation de vulnérabilités ne sont abordées qu’à la marge – via l’obligation générale d’accessibilité mais sans en approfondir les impacts différenciés, les besoins spécifiques populationnels.</w:t>
            </w:r>
          </w:p>
          <w:p w14:paraId="19A9E834" w14:textId="77777777" w:rsidR="008616CA" w:rsidRDefault="008616CA" w:rsidP="008616CA">
            <w:pPr>
              <w:spacing w:before="120" w:after="120"/>
              <w:jc w:val="both"/>
            </w:pPr>
            <w:r>
              <w:t>Au-delà de cette considération générale, la stratégie multicanaux proposée représente une opportunité forte d’améliorer l’accessibilité des alertes pour garantir l’accessibilité aux personnes en situation de handicap.</w:t>
            </w:r>
          </w:p>
          <w:p w14:paraId="263DC612" w14:textId="7B5DD55D" w:rsidR="008616CA" w:rsidRDefault="00EE29E6" w:rsidP="008616CA">
            <w:pPr>
              <w:spacing w:before="120" w:after="120"/>
              <w:jc w:val="both"/>
            </w:pPr>
            <w:r>
              <w:t>L</w:t>
            </w:r>
            <w:r w:rsidR="008616CA">
              <w:t xml:space="preserve">e maintien de plusieurs canaux de diffusion </w:t>
            </w:r>
            <w:r>
              <w:t xml:space="preserve">est salué, ce qui </w:t>
            </w:r>
            <w:r w:rsidR="008616CA">
              <w:t>augment</w:t>
            </w:r>
            <w:r>
              <w:t>e</w:t>
            </w:r>
            <w:r w:rsidR="008616CA">
              <w:t xml:space="preserve"> ainsi la résilience, la portée et la capacité à atteindre différents publics (personnes en situation de handicap, personnes âgées, etc.)</w:t>
            </w:r>
            <w:r>
              <w:t xml:space="preserve"> et</w:t>
            </w:r>
            <w:r w:rsidR="008616CA">
              <w:t xml:space="preserve"> constitue un avantage majeur pour les personnes ayant des limitations sensorielles, cognitives ou en mobilité.</w:t>
            </w:r>
          </w:p>
          <w:p w14:paraId="14D10B1E" w14:textId="083D272C" w:rsidR="008616CA" w:rsidRDefault="008616CA" w:rsidP="008616CA">
            <w:pPr>
              <w:spacing w:before="120" w:after="120"/>
              <w:jc w:val="both"/>
            </w:pPr>
            <w:r>
              <w:t>La disparition de la radio d’urgence retire un canal simple et robuste qui pouvait bénéficier aux personnes avec une faible littératie numérique (dont des personnes en situation de handicap), ce qui affaiblit potentiellement l’accessibilité.</w:t>
            </w:r>
          </w:p>
          <w:p w14:paraId="63CFB5F6" w14:textId="1F0A3CDA" w:rsidR="008616CA" w:rsidRDefault="008616CA" w:rsidP="008616CA">
            <w:pPr>
              <w:spacing w:before="120" w:after="120"/>
              <w:jc w:val="both"/>
            </w:pPr>
            <w:r>
              <w:t>Le transfert complet de la responsabilité des sirènes aux cantons, outre le fait qu’il implique un transfert de charge financière et organisationnelle très important, crée un risque d’hétérogénéité territoriale quant à la couverture, susceptible d’affecter de manière disproportionnée les personnes en situation de handicap dépendantes d’une grande fiabilité des signaux. Le cas échéant, les cantons devront donc veiller à garantir une mise en œuvre inclusive, en s’assurant que chaque canal reste pleinement accessible et que les lacunes potentielles liées au numérique soient compensées par des solutions locales adaptées.</w:t>
            </w:r>
          </w:p>
          <w:p w14:paraId="238AC6CF" w14:textId="77777777" w:rsidR="008616CA" w:rsidRDefault="008616CA" w:rsidP="008616CA">
            <w:pPr>
              <w:spacing w:before="120" w:after="120"/>
              <w:jc w:val="both"/>
            </w:pPr>
            <w:r>
              <w:t>Enfin, pour assurer une mise en œuvre opérationnelle, il s’agirait encore de mettre en place une obligation d’organiser des tests périodiques incluant des personnes en situation de handicap pour valider l’efficacité du dispositif et de consulter des associations spécialisées dans le champ du handicap. Cela pour affiner les canaux les plus importants pour les populations vulnérables.</w:t>
            </w:r>
          </w:p>
          <w:p w14:paraId="1DF9C16D" w14:textId="77777777" w:rsidR="008616CA" w:rsidRDefault="008616CA" w:rsidP="008616CA">
            <w:pPr>
              <w:spacing w:before="120" w:after="120"/>
              <w:jc w:val="both"/>
            </w:pPr>
            <w:r>
              <w:t xml:space="preserve">Plus globalement, il serait pertinent de développer des recommandations pratiques (par exemple, vibrations pour les personnes malentendantes) et des standards pour les technologies d’alerte, incluant une réglementation technique pour les différents supports à destination des publics en situation de vulnérabilités. Ces développements </w:t>
            </w:r>
            <w:proofErr w:type="gramStart"/>
            <w:r>
              <w:lastRenderedPageBreak/>
              <w:t>devraient</w:t>
            </w:r>
            <w:proofErr w:type="gramEnd"/>
            <w:r>
              <w:t xml:space="preserve"> s’inscrire dans le principe de conception universelle afin de garantir que chaque dispositif soit pensé dès l’origine pour être fonctionnel pour toutes les personnes.</w:t>
            </w:r>
          </w:p>
          <w:p w14:paraId="677C580C" w14:textId="117E3E5A" w:rsidR="00F2646A" w:rsidRDefault="008616CA" w:rsidP="008616CA">
            <w:pPr>
              <w:spacing w:before="120" w:after="120"/>
              <w:jc w:val="both"/>
            </w:pPr>
            <w:r>
              <w:t>De plus, toutes les communications devraient respecter à titre d’exemple le langage clair ou simplifié (la langue facile à lire), le contraste visuel suffisant, le sous-titrage systématique et la mise à disposition d’une version en langue des signes.</w:t>
            </w:r>
          </w:p>
        </w:tc>
      </w:tr>
      <w:tr w:rsidR="002C5670" w14:paraId="50C6463D" w14:textId="77777777" w:rsidTr="002C5670">
        <w:tc>
          <w:tcPr>
            <w:tcW w:w="2972" w:type="dxa"/>
          </w:tcPr>
          <w:p w14:paraId="6A2F90B4" w14:textId="187D07E3" w:rsidR="002C5670" w:rsidRDefault="002C5670" w:rsidP="00C90B3A">
            <w:pPr>
              <w:spacing w:before="120" w:after="120"/>
            </w:pPr>
            <w:r>
              <w:lastRenderedPageBreak/>
              <w:t xml:space="preserve">Art. </w:t>
            </w:r>
            <w:r w:rsidR="003E4567">
              <w:t xml:space="preserve">16 al. 2 </w:t>
            </w:r>
            <w:proofErr w:type="spellStart"/>
            <w:r w:rsidR="003E4567">
              <w:t>LPPCi</w:t>
            </w:r>
            <w:proofErr w:type="spellEnd"/>
            <w:r w:rsidR="003E4567">
              <w:t xml:space="preserve"> </w:t>
            </w:r>
          </w:p>
        </w:tc>
        <w:tc>
          <w:tcPr>
            <w:tcW w:w="11057" w:type="dxa"/>
          </w:tcPr>
          <w:p w14:paraId="2F0249B7" w14:textId="77777777" w:rsidR="003E4567" w:rsidRDefault="003E4567" w:rsidP="003E4567">
            <w:pPr>
              <w:spacing w:before="120" w:after="120"/>
              <w:jc w:val="both"/>
            </w:pPr>
            <w:r>
              <w:t xml:space="preserve">L’article 16, al. 2 </w:t>
            </w:r>
            <w:proofErr w:type="spellStart"/>
            <w:r>
              <w:t>LPPCi</w:t>
            </w:r>
            <w:proofErr w:type="spellEnd"/>
            <w:r>
              <w:t xml:space="preserve"> mis en consultation précise que les cantons sont « responsables des sirènes fixes et mobiles, à l’exception du dispositif de déclenchement à distance ».</w:t>
            </w:r>
          </w:p>
          <w:p w14:paraId="05D2C2EE" w14:textId="574B001E" w:rsidR="003E4567" w:rsidRDefault="003E4567" w:rsidP="003E4567">
            <w:pPr>
              <w:spacing w:before="120" w:after="120"/>
              <w:jc w:val="both"/>
            </w:pPr>
            <w:r>
              <w:t>Limiter la responsabilité cantonale aux seules sirènes fixes et mobiles risque toutefois d’exclure d’autres systèmes dans lesquels les cantons ont investi ou dont ils assument déjà la responsabilité. C’est notamment le cas, pour le Canton de Vaud, du renouvellement des feux à éclipses bordant</w:t>
            </w:r>
            <w:r w:rsidR="001F5F4F">
              <w:t xml:space="preserve"> les lacs </w:t>
            </w:r>
            <w:r w:rsidR="00212E4E">
              <w:t>Léman</w:t>
            </w:r>
            <w:r w:rsidR="001F5F4F">
              <w:t>, Neuchâtel et Morat</w:t>
            </w:r>
            <w:r>
              <w:t>.</w:t>
            </w:r>
          </w:p>
          <w:p w14:paraId="3DCF3237" w14:textId="5DEB0D68" w:rsidR="002C5670" w:rsidRDefault="003E4567" w:rsidP="001F5F4F">
            <w:pPr>
              <w:spacing w:before="120" w:after="120"/>
              <w:jc w:val="both"/>
            </w:pPr>
            <w:r>
              <w:t xml:space="preserve">Afin de refléter de manière exhaustive les responsabilités cantonales, l’article 16, al. 2 </w:t>
            </w:r>
            <w:proofErr w:type="spellStart"/>
            <w:r>
              <w:t>LPPCi</w:t>
            </w:r>
            <w:proofErr w:type="spellEnd"/>
            <w:r>
              <w:t xml:space="preserve"> pourrait être complété comme suit :</w:t>
            </w:r>
            <w:r w:rsidR="001F5F4F">
              <w:t xml:space="preserve"> </w:t>
            </w:r>
            <w:r>
              <w:t xml:space="preserve">« Ils sont </w:t>
            </w:r>
            <w:r w:rsidRPr="001F5F4F">
              <w:rPr>
                <w:i/>
                <w:iCs/>
              </w:rPr>
              <w:t>notamment</w:t>
            </w:r>
            <w:r>
              <w:t xml:space="preserve"> responsables des sirènes fixes et mobiles, à l’exception du dispositif de déclenchement à distance. »</w:t>
            </w:r>
            <w:r w:rsidR="00655309">
              <w:t>. Il</w:t>
            </w:r>
            <w:r w:rsidR="00655309" w:rsidRPr="00655309">
              <w:t xml:space="preserve"> faut à tout le moins préciser au niveau du commentaire des dispositions que la responsabilité cantonale englobe également les autres systèmes d’alarme ou d’avertissement déjà existants ou développés par les cantons, tels que les dispositifs lumineux ou sonores installés sur le domaine public, afin d’éviter toute ambiguïté quant à l’étendue des compétences cantonales.</w:t>
            </w:r>
          </w:p>
        </w:tc>
      </w:tr>
      <w:tr w:rsidR="00187023" w14:paraId="3364FD18" w14:textId="77777777" w:rsidTr="002C5670">
        <w:tc>
          <w:tcPr>
            <w:tcW w:w="2972" w:type="dxa"/>
          </w:tcPr>
          <w:p w14:paraId="17E88841" w14:textId="1D594A51" w:rsidR="00187023" w:rsidRDefault="00187023" w:rsidP="00C90B3A">
            <w:pPr>
              <w:spacing w:before="120" w:after="120"/>
            </w:pPr>
            <w:r>
              <w:t xml:space="preserve">Art. 16a </w:t>
            </w:r>
            <w:proofErr w:type="spellStart"/>
            <w:r>
              <w:t>LPPCi</w:t>
            </w:r>
            <w:proofErr w:type="spellEnd"/>
            <w:r>
              <w:t xml:space="preserve"> </w:t>
            </w:r>
          </w:p>
        </w:tc>
        <w:tc>
          <w:tcPr>
            <w:tcW w:w="11057" w:type="dxa"/>
          </w:tcPr>
          <w:p w14:paraId="3965206A" w14:textId="6B318B29" w:rsidR="00187023" w:rsidRDefault="00D12109" w:rsidP="003E4567">
            <w:pPr>
              <w:spacing w:before="120" w:after="120"/>
              <w:jc w:val="both"/>
            </w:pPr>
            <w:r w:rsidRPr="00D12109">
              <w:t xml:space="preserve">La formulation actuelle de l’art. 16a (« les cantons mettent en service des points de rencontre d’urgence ») ne reflète pas correctement la répartition réelle des responsabilités. Le libellé </w:t>
            </w:r>
            <w:r>
              <w:t>suggère</w:t>
            </w:r>
            <w:r w:rsidRPr="00D12109">
              <w:t xml:space="preserve"> </w:t>
            </w:r>
            <w:r>
              <w:t xml:space="preserve">en effet </w:t>
            </w:r>
            <w:r w:rsidRPr="00D12109">
              <w:t xml:space="preserve">que la mise en service </w:t>
            </w:r>
            <w:r>
              <w:t>relève</w:t>
            </w:r>
            <w:r w:rsidRPr="00D12109">
              <w:t xml:space="preserve"> exclusivement </w:t>
            </w:r>
            <w:r>
              <w:t>des</w:t>
            </w:r>
            <w:r w:rsidRPr="00D12109">
              <w:t xml:space="preserve"> cantons, alors qu</w:t>
            </w:r>
            <w:r>
              <w:t>e dans le canton de Vaud l’exploitation opérationnelle des points de rencontre d’urgence est du ressort des communes</w:t>
            </w:r>
            <w:r w:rsidRPr="00D12109">
              <w:t>.</w:t>
            </w:r>
          </w:p>
          <w:p w14:paraId="156ABDC2" w14:textId="64450E33" w:rsidR="00D12109" w:rsidRPr="00D12109" w:rsidRDefault="00D12109" w:rsidP="00D12109">
            <w:pPr>
              <w:spacing w:before="120" w:after="120"/>
              <w:jc w:val="both"/>
            </w:pPr>
            <w:r w:rsidRPr="00D12109">
              <w:t xml:space="preserve">Une clarification s’impose donc afin de distinguer les niveaux de responsabilité et d’assurer la cohérence entre la loi et l’organisation </w:t>
            </w:r>
            <w:r>
              <w:t>réelle</w:t>
            </w:r>
            <w:r w:rsidRPr="00D12109">
              <w:t xml:space="preserve"> des tâches. Pour refléter la réalité, la disposition devrait préciser que :</w:t>
            </w:r>
          </w:p>
          <w:p w14:paraId="3AFE6A15" w14:textId="77777777" w:rsidR="00D12109" w:rsidRPr="00D12109" w:rsidRDefault="00D12109" w:rsidP="00D12109">
            <w:pPr>
              <w:numPr>
                <w:ilvl w:val="0"/>
                <w:numId w:val="1"/>
              </w:numPr>
              <w:spacing w:before="120" w:after="120"/>
              <w:jc w:val="both"/>
            </w:pPr>
            <w:proofErr w:type="gramStart"/>
            <w:r w:rsidRPr="00D12109">
              <w:t>les</w:t>
            </w:r>
            <w:proofErr w:type="gramEnd"/>
            <w:r w:rsidRPr="00D12109">
              <w:t xml:space="preserve"> cantons définissent le cadre, coordonnent, planifient et veillent à l’harmonisation du dispositif,</w:t>
            </w:r>
          </w:p>
          <w:p w14:paraId="4D3880B8" w14:textId="77777777" w:rsidR="00D12109" w:rsidRPr="00D12109" w:rsidRDefault="00D12109" w:rsidP="00D12109">
            <w:pPr>
              <w:numPr>
                <w:ilvl w:val="0"/>
                <w:numId w:val="1"/>
              </w:numPr>
              <w:spacing w:before="120" w:after="120"/>
              <w:jc w:val="both"/>
            </w:pPr>
            <w:proofErr w:type="gramStart"/>
            <w:r w:rsidRPr="00D12109">
              <w:t>tandis</w:t>
            </w:r>
            <w:proofErr w:type="gramEnd"/>
            <w:r w:rsidRPr="00D12109">
              <w:t xml:space="preserve"> que les communes sont chargées de l’exploitation, de la mise en service et du fonctionnement opérationnel des points de rencontre d’urgence.</w:t>
            </w:r>
          </w:p>
          <w:p w14:paraId="4EBFE946" w14:textId="79B13B92" w:rsidR="00D12109" w:rsidRDefault="00D12109" w:rsidP="003E4567">
            <w:pPr>
              <w:spacing w:before="120" w:after="120"/>
              <w:jc w:val="both"/>
            </w:pPr>
            <w:r w:rsidRPr="00D12109">
              <w:t>À défaut, ces éléments doivent être explicitement mentionnés dans le commentaire officiel afin d’éviter toute ambiguïté quant à la répartition des compétences entre cantons et communes.</w:t>
            </w:r>
          </w:p>
        </w:tc>
      </w:tr>
    </w:tbl>
    <w:p w14:paraId="26884096" w14:textId="77777777" w:rsidR="002C5670" w:rsidRDefault="002C5670"/>
    <w:sectPr w:rsidR="002C5670" w:rsidSect="002C5670">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F3A4" w14:textId="77777777" w:rsidR="002C5670" w:rsidRDefault="002C5670" w:rsidP="002C5670">
      <w:pPr>
        <w:spacing w:after="0" w:line="240" w:lineRule="auto"/>
      </w:pPr>
      <w:r>
        <w:separator/>
      </w:r>
    </w:p>
  </w:endnote>
  <w:endnote w:type="continuationSeparator" w:id="0">
    <w:p w14:paraId="62329599" w14:textId="77777777" w:rsidR="002C5670" w:rsidRDefault="002C5670" w:rsidP="002C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170934"/>
      <w:docPartObj>
        <w:docPartGallery w:val="Page Numbers (Bottom of Page)"/>
        <w:docPartUnique/>
      </w:docPartObj>
    </w:sdtPr>
    <w:sdtEndPr/>
    <w:sdtContent>
      <w:p w14:paraId="4473FC87" w14:textId="1ED71F77" w:rsidR="00C90B3A" w:rsidRDefault="00C90B3A" w:rsidP="00C90B3A">
        <w:pPr>
          <w:pStyle w:val="Pieddepage"/>
          <w:jc w:val="right"/>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17FD" w14:textId="77777777" w:rsidR="002C5670" w:rsidRDefault="002C5670" w:rsidP="002C5670">
      <w:pPr>
        <w:spacing w:after="0" w:line="240" w:lineRule="auto"/>
      </w:pPr>
      <w:r>
        <w:separator/>
      </w:r>
    </w:p>
  </w:footnote>
  <w:footnote w:type="continuationSeparator" w:id="0">
    <w:p w14:paraId="4E10D147" w14:textId="77777777" w:rsidR="002C5670" w:rsidRDefault="002C5670" w:rsidP="002C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C2DF" w14:textId="4F25B3A4" w:rsidR="002C5670" w:rsidRDefault="002C5670" w:rsidP="002C5670">
    <w:pPr>
      <w:pStyle w:val="En-tte"/>
      <w:jc w:val="right"/>
    </w:pPr>
    <w:r>
      <w:t xml:space="preserve">Modification de </w:t>
    </w:r>
    <w:r w:rsidR="001E3D84">
      <w:t>la loi fédérale sur la protection de la population et sur la protection civile, en vue de la mise en œuvre de la stratégie multicanaux pour l’information, l’alerte et l’alarme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47097"/>
    <w:multiLevelType w:val="multilevel"/>
    <w:tmpl w:val="452E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73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70"/>
    <w:rsid w:val="00071DDD"/>
    <w:rsid w:val="00187023"/>
    <w:rsid w:val="001E3D84"/>
    <w:rsid w:val="001F5F4F"/>
    <w:rsid w:val="00212E4E"/>
    <w:rsid w:val="002A7A13"/>
    <w:rsid w:val="002C5670"/>
    <w:rsid w:val="003622AB"/>
    <w:rsid w:val="003E4567"/>
    <w:rsid w:val="00415C86"/>
    <w:rsid w:val="005A2139"/>
    <w:rsid w:val="005F77B0"/>
    <w:rsid w:val="00655309"/>
    <w:rsid w:val="008015DF"/>
    <w:rsid w:val="00827CB0"/>
    <w:rsid w:val="008616CA"/>
    <w:rsid w:val="009B34DD"/>
    <w:rsid w:val="00AC10DD"/>
    <w:rsid w:val="00B60C81"/>
    <w:rsid w:val="00C90B3A"/>
    <w:rsid w:val="00D12109"/>
    <w:rsid w:val="00DB60F0"/>
    <w:rsid w:val="00EE29E6"/>
    <w:rsid w:val="00F14437"/>
    <w:rsid w:val="00F2646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7142"/>
  <w15:chartTrackingRefBased/>
  <w15:docId w15:val="{63054C36-2D0D-4690-AFF1-EAEEB71B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5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56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56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56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56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56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56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56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56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56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56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56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56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56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56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56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5670"/>
    <w:rPr>
      <w:rFonts w:eastAsiaTheme="majorEastAsia" w:cstheme="majorBidi"/>
      <w:color w:val="272727" w:themeColor="text1" w:themeTint="D8"/>
    </w:rPr>
  </w:style>
  <w:style w:type="paragraph" w:styleId="Titre">
    <w:name w:val="Title"/>
    <w:basedOn w:val="Normal"/>
    <w:next w:val="Normal"/>
    <w:link w:val="TitreCar"/>
    <w:uiPriority w:val="10"/>
    <w:qFormat/>
    <w:rsid w:val="002C5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56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56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56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5670"/>
    <w:pPr>
      <w:spacing w:before="160"/>
      <w:jc w:val="center"/>
    </w:pPr>
    <w:rPr>
      <w:i/>
      <w:iCs/>
      <w:color w:val="404040" w:themeColor="text1" w:themeTint="BF"/>
    </w:rPr>
  </w:style>
  <w:style w:type="character" w:customStyle="1" w:styleId="CitationCar">
    <w:name w:val="Citation Car"/>
    <w:basedOn w:val="Policepardfaut"/>
    <w:link w:val="Citation"/>
    <w:uiPriority w:val="29"/>
    <w:rsid w:val="002C5670"/>
    <w:rPr>
      <w:i/>
      <w:iCs/>
      <w:color w:val="404040" w:themeColor="text1" w:themeTint="BF"/>
    </w:rPr>
  </w:style>
  <w:style w:type="paragraph" w:styleId="Paragraphedeliste">
    <w:name w:val="List Paragraph"/>
    <w:basedOn w:val="Normal"/>
    <w:uiPriority w:val="34"/>
    <w:qFormat/>
    <w:rsid w:val="002C5670"/>
    <w:pPr>
      <w:ind w:left="720"/>
      <w:contextualSpacing/>
    </w:pPr>
  </w:style>
  <w:style w:type="character" w:styleId="Accentuationintense">
    <w:name w:val="Intense Emphasis"/>
    <w:basedOn w:val="Policepardfaut"/>
    <w:uiPriority w:val="21"/>
    <w:qFormat/>
    <w:rsid w:val="002C5670"/>
    <w:rPr>
      <w:i/>
      <w:iCs/>
      <w:color w:val="0F4761" w:themeColor="accent1" w:themeShade="BF"/>
    </w:rPr>
  </w:style>
  <w:style w:type="paragraph" w:styleId="Citationintense">
    <w:name w:val="Intense Quote"/>
    <w:basedOn w:val="Normal"/>
    <w:next w:val="Normal"/>
    <w:link w:val="CitationintenseCar"/>
    <w:uiPriority w:val="30"/>
    <w:qFormat/>
    <w:rsid w:val="002C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5670"/>
    <w:rPr>
      <w:i/>
      <w:iCs/>
      <w:color w:val="0F4761" w:themeColor="accent1" w:themeShade="BF"/>
    </w:rPr>
  </w:style>
  <w:style w:type="character" w:styleId="Rfrenceintense">
    <w:name w:val="Intense Reference"/>
    <w:basedOn w:val="Policepardfaut"/>
    <w:uiPriority w:val="32"/>
    <w:qFormat/>
    <w:rsid w:val="002C5670"/>
    <w:rPr>
      <w:b/>
      <w:bCs/>
      <w:smallCaps/>
      <w:color w:val="0F4761" w:themeColor="accent1" w:themeShade="BF"/>
      <w:spacing w:val="5"/>
    </w:rPr>
  </w:style>
  <w:style w:type="paragraph" w:styleId="En-tte">
    <w:name w:val="header"/>
    <w:basedOn w:val="Normal"/>
    <w:link w:val="En-tteCar"/>
    <w:uiPriority w:val="99"/>
    <w:unhideWhenUsed/>
    <w:rsid w:val="002C5670"/>
    <w:pPr>
      <w:tabs>
        <w:tab w:val="center" w:pos="4536"/>
        <w:tab w:val="right" w:pos="9072"/>
      </w:tabs>
      <w:spacing w:after="0" w:line="240" w:lineRule="auto"/>
    </w:pPr>
  </w:style>
  <w:style w:type="character" w:customStyle="1" w:styleId="En-tteCar">
    <w:name w:val="En-tête Car"/>
    <w:basedOn w:val="Policepardfaut"/>
    <w:link w:val="En-tte"/>
    <w:uiPriority w:val="99"/>
    <w:rsid w:val="002C5670"/>
  </w:style>
  <w:style w:type="paragraph" w:styleId="Pieddepage">
    <w:name w:val="footer"/>
    <w:basedOn w:val="Normal"/>
    <w:link w:val="PieddepageCar"/>
    <w:uiPriority w:val="99"/>
    <w:unhideWhenUsed/>
    <w:rsid w:val="002C56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5670"/>
  </w:style>
  <w:style w:type="table" w:styleId="Grilledutableau">
    <w:name w:val="Table Grid"/>
    <w:basedOn w:val="TableauNormal"/>
    <w:uiPriority w:val="39"/>
    <w:rsid w:val="002C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215">
      <w:bodyDiv w:val="1"/>
      <w:marLeft w:val="0"/>
      <w:marRight w:val="0"/>
      <w:marTop w:val="0"/>
      <w:marBottom w:val="0"/>
      <w:divBdr>
        <w:top w:val="none" w:sz="0" w:space="0" w:color="auto"/>
        <w:left w:val="none" w:sz="0" w:space="0" w:color="auto"/>
        <w:bottom w:val="none" w:sz="0" w:space="0" w:color="auto"/>
        <w:right w:val="none" w:sz="0" w:space="0" w:color="auto"/>
      </w:divBdr>
    </w:div>
    <w:div w:id="6130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4466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 Ludivine</dc:creator>
  <cp:keywords/>
  <dc:description/>
  <cp:lastModifiedBy>Savoyen Corinne</cp:lastModifiedBy>
  <cp:revision>2</cp:revision>
  <dcterms:created xsi:type="dcterms:W3CDTF">2026-01-15T08:13:00Z</dcterms:created>
  <dcterms:modified xsi:type="dcterms:W3CDTF">2026-01-15T08:13:00Z</dcterms:modified>
</cp:coreProperties>
</file>