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7129" w14:textId="2EBABB9D" w:rsidR="00415C86" w:rsidRPr="002C5670" w:rsidRDefault="002C5670" w:rsidP="00506447">
      <w:pPr>
        <w:spacing w:after="360"/>
        <w:rPr>
          <w:b/>
          <w:bCs/>
          <w:sz w:val="24"/>
          <w:szCs w:val="24"/>
        </w:rPr>
      </w:pPr>
      <w:r w:rsidRPr="002C5670">
        <w:rPr>
          <w:b/>
          <w:bCs/>
          <w:sz w:val="24"/>
          <w:szCs w:val="24"/>
        </w:rPr>
        <w:t xml:space="preserve">Annexe : Commentaires liés aux articles </w:t>
      </w:r>
    </w:p>
    <w:tbl>
      <w:tblPr>
        <w:tblStyle w:val="Grilledutableau"/>
        <w:tblW w:w="13745" w:type="dxa"/>
        <w:tblLook w:val="04A0" w:firstRow="1" w:lastRow="0" w:firstColumn="1" w:lastColumn="0" w:noHBand="0" w:noVBand="1"/>
      </w:tblPr>
      <w:tblGrid>
        <w:gridCol w:w="2405"/>
        <w:gridCol w:w="6804"/>
        <w:gridCol w:w="4536"/>
      </w:tblGrid>
      <w:tr w:rsidR="00C14DFC" w14:paraId="5313325E" w14:textId="4117E8B6" w:rsidTr="00BD1224">
        <w:tc>
          <w:tcPr>
            <w:tcW w:w="2405" w:type="dxa"/>
            <w:shd w:val="clear" w:color="auto" w:fill="F2F2F2" w:themeFill="background1" w:themeFillShade="F2"/>
          </w:tcPr>
          <w:p w14:paraId="7A94BD3E" w14:textId="635E8B96" w:rsidR="00C14DFC" w:rsidRPr="002C5670" w:rsidRDefault="00C14DFC" w:rsidP="00C90B3A">
            <w:pPr>
              <w:spacing w:before="120" w:after="120"/>
              <w:rPr>
                <w:b/>
                <w:bCs/>
              </w:rPr>
            </w:pPr>
            <w:r w:rsidRPr="002C5670">
              <w:rPr>
                <w:b/>
                <w:bCs/>
              </w:rPr>
              <w:t>Dispositions légales</w:t>
            </w:r>
          </w:p>
        </w:tc>
        <w:tc>
          <w:tcPr>
            <w:tcW w:w="6804" w:type="dxa"/>
            <w:shd w:val="clear" w:color="auto" w:fill="F2F2F2" w:themeFill="background1" w:themeFillShade="F2"/>
          </w:tcPr>
          <w:p w14:paraId="372CF72C" w14:textId="70E3B5DC" w:rsidR="00C14DFC" w:rsidRPr="002C5670" w:rsidRDefault="00C14DFC" w:rsidP="00C90B3A">
            <w:pPr>
              <w:spacing w:before="120" w:after="120"/>
              <w:rPr>
                <w:b/>
                <w:bCs/>
              </w:rPr>
            </w:pPr>
            <w:r w:rsidRPr="002C5670">
              <w:rPr>
                <w:b/>
                <w:bCs/>
              </w:rPr>
              <w:t xml:space="preserve">Commentaires </w:t>
            </w:r>
          </w:p>
        </w:tc>
        <w:tc>
          <w:tcPr>
            <w:tcW w:w="4536" w:type="dxa"/>
            <w:shd w:val="clear" w:color="auto" w:fill="F2F2F2" w:themeFill="background1" w:themeFillShade="F2"/>
          </w:tcPr>
          <w:p w14:paraId="4D4760D6" w14:textId="1B7D2A93" w:rsidR="00C14DFC" w:rsidRPr="002C5670" w:rsidRDefault="00C14DFC" w:rsidP="00C90B3A">
            <w:pPr>
              <w:spacing w:before="120" w:after="120"/>
              <w:rPr>
                <w:b/>
                <w:bCs/>
              </w:rPr>
            </w:pPr>
            <w:r>
              <w:rPr>
                <w:b/>
                <w:bCs/>
              </w:rPr>
              <w:t xml:space="preserve">Proposition de modification </w:t>
            </w:r>
          </w:p>
        </w:tc>
      </w:tr>
      <w:tr w:rsidR="00D776C1" w14:paraId="50C6463D" w14:textId="1366E820" w:rsidTr="00BD1224">
        <w:tc>
          <w:tcPr>
            <w:tcW w:w="2405" w:type="dxa"/>
          </w:tcPr>
          <w:p w14:paraId="6A2F90B4" w14:textId="4A0160E6" w:rsidR="00D776C1" w:rsidRDefault="00D776C1" w:rsidP="00D776C1">
            <w:pPr>
              <w:spacing w:before="120" w:after="120"/>
            </w:pPr>
            <w:r>
              <w:t xml:space="preserve">Art. 3 </w:t>
            </w:r>
            <w:proofErr w:type="spellStart"/>
            <w:r>
              <w:t>ORéq</w:t>
            </w:r>
            <w:proofErr w:type="spellEnd"/>
          </w:p>
        </w:tc>
        <w:tc>
          <w:tcPr>
            <w:tcW w:w="6804" w:type="dxa"/>
          </w:tcPr>
          <w:p w14:paraId="3DCF3237" w14:textId="57600F91" w:rsidR="00712660" w:rsidRPr="00712660" w:rsidRDefault="00712660" w:rsidP="00064509">
            <w:pPr>
              <w:spacing w:before="120" w:after="120"/>
              <w:jc w:val="both"/>
              <w:rPr>
                <w:rFonts w:ascii="Arial" w:hAnsi="Arial" w:cs="Arial"/>
              </w:rPr>
            </w:pPr>
            <w:r>
              <w:rPr>
                <w:rFonts w:ascii="Arial" w:hAnsi="Arial" w:cs="Arial"/>
              </w:rPr>
              <w:t>L</w:t>
            </w:r>
            <w:r w:rsidRPr="00712660">
              <w:rPr>
                <w:rFonts w:ascii="Arial" w:hAnsi="Arial" w:cs="Arial"/>
              </w:rPr>
              <w:t xml:space="preserve">a suspension de rapports juridiques de droit public ou privé pourrait </w:t>
            </w:r>
            <w:proofErr w:type="gramStart"/>
            <w:r w:rsidRPr="00712660">
              <w:rPr>
                <w:rFonts w:ascii="Arial" w:hAnsi="Arial" w:cs="Arial"/>
              </w:rPr>
              <w:t>avoir</w:t>
            </w:r>
            <w:proofErr w:type="gramEnd"/>
            <w:r w:rsidRPr="00712660">
              <w:rPr>
                <w:rFonts w:ascii="Arial" w:hAnsi="Arial" w:cs="Arial"/>
              </w:rPr>
              <w:t xml:space="preserve"> des répercussions indirectes sur des prestataires ou des infrastructures dont dépendent les </w:t>
            </w:r>
            <w:r>
              <w:rPr>
                <w:rFonts w:ascii="Arial" w:hAnsi="Arial" w:cs="Arial"/>
              </w:rPr>
              <w:t xml:space="preserve">partenaires cantonaux de la protection de la population </w:t>
            </w:r>
            <w:r w:rsidRPr="00712660">
              <w:rPr>
                <w:rFonts w:ascii="Arial" w:hAnsi="Arial" w:cs="Arial"/>
              </w:rPr>
              <w:t>dans l’accomplissement de leurs missions. Il conviendrait dès lors de clarifier la portée de ces mesures ainsi que leurs effets potentiels sur les prestations critiques contribuant à la sécurité publique cantonale, afin de garantir le maintien des capacités opérationnelles indispensables.</w:t>
            </w:r>
          </w:p>
        </w:tc>
        <w:tc>
          <w:tcPr>
            <w:tcW w:w="4536" w:type="dxa"/>
          </w:tcPr>
          <w:p w14:paraId="6DE3D4A9" w14:textId="0482169B" w:rsidR="00D776C1" w:rsidRPr="00D776C1" w:rsidRDefault="00D776C1" w:rsidP="00D776C1">
            <w:pPr>
              <w:spacing w:before="120" w:after="120"/>
              <w:jc w:val="both"/>
              <w:rPr>
                <w:highlight w:val="yellow"/>
              </w:rPr>
            </w:pPr>
          </w:p>
        </w:tc>
      </w:tr>
      <w:tr w:rsidR="00D776C1" w14:paraId="47BBCD17" w14:textId="58624AB5" w:rsidTr="00BD1224">
        <w:tc>
          <w:tcPr>
            <w:tcW w:w="2405" w:type="dxa"/>
          </w:tcPr>
          <w:p w14:paraId="1D4E3376" w14:textId="675BF24D" w:rsidR="00D776C1" w:rsidRDefault="00D776C1" w:rsidP="00D776C1">
            <w:pPr>
              <w:spacing w:before="120" w:after="120"/>
            </w:pPr>
            <w:r>
              <w:t xml:space="preserve">Art. 4 al. 1 let. </w:t>
            </w:r>
            <w:proofErr w:type="spellStart"/>
            <w:proofErr w:type="gramStart"/>
            <w:r>
              <w:t>a</w:t>
            </w:r>
            <w:proofErr w:type="spellEnd"/>
            <w:proofErr w:type="gramEnd"/>
            <w:r>
              <w:t xml:space="preserve"> </w:t>
            </w:r>
            <w:proofErr w:type="spellStart"/>
            <w:r>
              <w:t>ORéq</w:t>
            </w:r>
            <w:proofErr w:type="spellEnd"/>
          </w:p>
        </w:tc>
        <w:tc>
          <w:tcPr>
            <w:tcW w:w="6804" w:type="dxa"/>
          </w:tcPr>
          <w:p w14:paraId="4D6B536E" w14:textId="12C16AC3" w:rsidR="00D776C1" w:rsidRDefault="00D776C1" w:rsidP="00064509">
            <w:pPr>
              <w:spacing w:before="120" w:after="120"/>
              <w:jc w:val="both"/>
              <w:rPr>
                <w:rFonts w:ascii="Arial" w:hAnsi="Arial" w:cs="Arial"/>
              </w:rPr>
            </w:pPr>
            <w:r>
              <w:rPr>
                <w:rFonts w:ascii="Arial" w:hAnsi="Arial" w:cs="Arial"/>
              </w:rPr>
              <w:t xml:space="preserve">Telle que formulée, la réserve faite à l’art. 4 al. 1 let. </w:t>
            </w:r>
            <w:proofErr w:type="spellStart"/>
            <w:proofErr w:type="gramStart"/>
            <w:r>
              <w:rPr>
                <w:rFonts w:ascii="Arial" w:hAnsi="Arial" w:cs="Arial"/>
              </w:rPr>
              <w:t>a</w:t>
            </w:r>
            <w:proofErr w:type="spellEnd"/>
            <w:proofErr w:type="gramEnd"/>
            <w:r>
              <w:rPr>
                <w:rFonts w:ascii="Arial" w:hAnsi="Arial" w:cs="Arial"/>
              </w:rPr>
              <w:t xml:space="preserve"> </w:t>
            </w:r>
            <w:proofErr w:type="spellStart"/>
            <w:r>
              <w:rPr>
                <w:rFonts w:ascii="Arial" w:hAnsi="Arial" w:cs="Arial"/>
              </w:rPr>
              <w:t>ORéq</w:t>
            </w:r>
            <w:proofErr w:type="spellEnd"/>
            <w:r>
              <w:rPr>
                <w:rFonts w:ascii="Arial" w:hAnsi="Arial" w:cs="Arial"/>
              </w:rPr>
              <w:t xml:space="preserve"> concernant les institutions « qui accomplissent des tâches … des sapeurs-pompiers » n’est pas claire et pourrait être interprétée comme s’appliquant uniquement aux communes dont dépendent les corps de sapeurs-pompiers, alors que l’</w:t>
            </w:r>
            <w:r w:rsidRPr="00C14DFC">
              <w:rPr>
                <w:rFonts w:ascii="Arial" w:hAnsi="Arial" w:cs="Arial"/>
              </w:rPr>
              <w:t>Etablissement d’assurance contre l’incendie et les éléments naturels du canton de Vaud</w:t>
            </w:r>
            <w:r>
              <w:rPr>
                <w:rFonts w:ascii="Arial" w:hAnsi="Arial" w:cs="Arial"/>
              </w:rPr>
              <w:t xml:space="preserve"> (ECA) exerce les compétences du canton en matière de défense contre l’incendie et les dangers résultant des éléments naturels. Parmi ces attributions, il organise, gère et exploite un Centre de traitement des alarmes (CTA) (art. 4 al. 2 LSDIS) et traite ainsi un grand nombre de données concernant les services de défense contre l’incendie et de secours. Celles-ci sont en outre entremêlées avec les données de ses autres domaines d’activités, à savoir l’assurance contre l’incendie et les éléments naturels et la prévention des incendies et des dangers résultant des éléments naturels. </w:t>
            </w:r>
          </w:p>
          <w:p w14:paraId="5C190AAF" w14:textId="64E48A11" w:rsidR="00D776C1" w:rsidRDefault="00D776C1" w:rsidP="00064509">
            <w:pPr>
              <w:spacing w:before="120" w:after="120"/>
              <w:jc w:val="both"/>
            </w:pPr>
            <w:r>
              <w:rPr>
                <w:rFonts w:ascii="Arial" w:hAnsi="Arial" w:cs="Arial"/>
              </w:rPr>
              <w:t xml:space="preserve">Dès lors, pour éviter toute ambiguïté et afin que cette exception s’applique également aux domaines d’activités de l’ECA, nous proposons de préciser l’art. 4 al. 1 let. </w:t>
            </w:r>
            <w:proofErr w:type="spellStart"/>
            <w:proofErr w:type="gramStart"/>
            <w:r>
              <w:rPr>
                <w:rFonts w:ascii="Arial" w:hAnsi="Arial" w:cs="Arial"/>
              </w:rPr>
              <w:t>a</w:t>
            </w:r>
            <w:proofErr w:type="spellEnd"/>
            <w:proofErr w:type="gramEnd"/>
            <w:r>
              <w:rPr>
                <w:rFonts w:ascii="Arial" w:hAnsi="Arial" w:cs="Arial"/>
              </w:rPr>
              <w:t xml:space="preserve"> </w:t>
            </w:r>
            <w:proofErr w:type="spellStart"/>
            <w:r>
              <w:rPr>
                <w:rFonts w:ascii="Arial" w:hAnsi="Arial" w:cs="Arial"/>
              </w:rPr>
              <w:t>ORéq</w:t>
            </w:r>
            <w:proofErr w:type="spellEnd"/>
            <w:r>
              <w:rPr>
                <w:rFonts w:ascii="Arial" w:hAnsi="Arial" w:cs="Arial"/>
              </w:rPr>
              <w:t>.</w:t>
            </w:r>
          </w:p>
        </w:tc>
        <w:tc>
          <w:tcPr>
            <w:tcW w:w="4536" w:type="dxa"/>
          </w:tcPr>
          <w:p w14:paraId="23324F90" w14:textId="2B6CBE68" w:rsidR="00D776C1" w:rsidRPr="0013637B" w:rsidRDefault="00D776C1" w:rsidP="00064509">
            <w:pPr>
              <w:tabs>
                <w:tab w:val="left" w:pos="565"/>
              </w:tabs>
              <w:spacing w:before="120" w:after="120"/>
              <w:ind w:left="598" w:hanging="598"/>
              <w:jc w:val="both"/>
              <w:rPr>
                <w:rFonts w:ascii="Arial" w:hAnsi="Arial" w:cs="Arial"/>
              </w:rPr>
            </w:pPr>
            <w:r>
              <w:rPr>
                <w:rFonts w:ascii="Arial" w:hAnsi="Arial" w:cs="Arial"/>
              </w:rPr>
              <w:t xml:space="preserve"> a. </w:t>
            </w:r>
            <w:r>
              <w:rPr>
                <w:rFonts w:ascii="Arial" w:hAnsi="Arial" w:cs="Arial"/>
              </w:rPr>
              <w:tab/>
              <w:t xml:space="preserve">d’institutions publiques ou privées qui accomplissent des tâches de l’armée, de la protection civile, de la police, du système de santé et de l’approvisionnement économique du pays, </w:t>
            </w:r>
            <w:r w:rsidRPr="0045608E">
              <w:rPr>
                <w:rFonts w:ascii="Arial" w:hAnsi="Arial" w:cs="Arial"/>
                <w:b/>
                <w:bCs/>
              </w:rPr>
              <w:t>ainsi que des entités assumant la charge des sapeurs-pompiers et supervisant leurs activités</w:t>
            </w:r>
            <w:r>
              <w:rPr>
                <w:rFonts w:ascii="Arial" w:hAnsi="Arial" w:cs="Arial"/>
              </w:rPr>
              <w:t>. </w:t>
            </w:r>
          </w:p>
          <w:p w14:paraId="4DD8F093" w14:textId="77777777" w:rsidR="00D776C1" w:rsidRDefault="00D776C1" w:rsidP="00D776C1">
            <w:pPr>
              <w:spacing w:before="120" w:after="120"/>
              <w:jc w:val="both"/>
            </w:pPr>
          </w:p>
        </w:tc>
      </w:tr>
    </w:tbl>
    <w:p w14:paraId="26884096" w14:textId="77777777" w:rsidR="002C5670" w:rsidRDefault="002C5670" w:rsidP="00506447"/>
    <w:sectPr w:rsidR="002C5670" w:rsidSect="00C14DFC">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C044" w14:textId="77777777" w:rsidR="00982793" w:rsidRDefault="00982793" w:rsidP="002C5670">
      <w:pPr>
        <w:spacing w:after="0" w:line="240" w:lineRule="auto"/>
      </w:pPr>
      <w:r>
        <w:separator/>
      </w:r>
    </w:p>
  </w:endnote>
  <w:endnote w:type="continuationSeparator" w:id="0">
    <w:p w14:paraId="69C0C900" w14:textId="77777777" w:rsidR="00982793" w:rsidRDefault="00982793" w:rsidP="002C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170934"/>
      <w:docPartObj>
        <w:docPartGallery w:val="Page Numbers (Bottom of Page)"/>
        <w:docPartUnique/>
      </w:docPartObj>
    </w:sdtPr>
    <w:sdtEndPr/>
    <w:sdtContent>
      <w:p w14:paraId="4473FC87" w14:textId="1ED71F77" w:rsidR="00C90B3A" w:rsidRDefault="00C90B3A" w:rsidP="00C90B3A">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3F6C" w14:textId="77777777" w:rsidR="00982793" w:rsidRDefault="00982793" w:rsidP="002C5670">
      <w:pPr>
        <w:spacing w:after="0" w:line="240" w:lineRule="auto"/>
      </w:pPr>
      <w:r>
        <w:separator/>
      </w:r>
    </w:p>
  </w:footnote>
  <w:footnote w:type="continuationSeparator" w:id="0">
    <w:p w14:paraId="7FAA5C39" w14:textId="77777777" w:rsidR="00982793" w:rsidRDefault="00982793" w:rsidP="002C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C2DF" w14:textId="795D525A" w:rsidR="002C5670" w:rsidRDefault="00C14DFC" w:rsidP="002C5670">
    <w:pPr>
      <w:pStyle w:val="En-tte"/>
      <w:jc w:val="right"/>
    </w:pPr>
    <w:r>
      <w:t xml:space="preserve">Ordonnance </w:t>
    </w:r>
    <w:r w:rsidR="00BD1224">
      <w:t xml:space="preserve">sur la réquisition, l’exploitation militaire et les mesures de protection des installations militaires de télécommunication (ordonnance sur la réquisition, </w:t>
    </w:r>
    <w:proofErr w:type="spellStart"/>
    <w:r w:rsidR="00BD1224">
      <w:t>ORéq</w:t>
    </w:r>
    <w:proofErr w:type="spellEnd"/>
    <w:r w:rsidR="00BD1224">
      <w:t xml:space="preserve">) </w:t>
    </w:r>
    <w:r w:rsidR="002C567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47097"/>
    <w:multiLevelType w:val="multilevel"/>
    <w:tmpl w:val="452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73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70"/>
    <w:rsid w:val="00022767"/>
    <w:rsid w:val="00064509"/>
    <w:rsid w:val="00071DDD"/>
    <w:rsid w:val="000D3875"/>
    <w:rsid w:val="00187023"/>
    <w:rsid w:val="001E3D84"/>
    <w:rsid w:val="001F5F4F"/>
    <w:rsid w:val="00212E4E"/>
    <w:rsid w:val="002C5670"/>
    <w:rsid w:val="003622AB"/>
    <w:rsid w:val="003E4567"/>
    <w:rsid w:val="00415C86"/>
    <w:rsid w:val="004406D6"/>
    <w:rsid w:val="0049748B"/>
    <w:rsid w:val="004C1582"/>
    <w:rsid w:val="004F2674"/>
    <w:rsid w:val="00506447"/>
    <w:rsid w:val="00507A1E"/>
    <w:rsid w:val="00567CC1"/>
    <w:rsid w:val="005A2139"/>
    <w:rsid w:val="005F77B0"/>
    <w:rsid w:val="00600E76"/>
    <w:rsid w:val="00655309"/>
    <w:rsid w:val="00712660"/>
    <w:rsid w:val="00740111"/>
    <w:rsid w:val="007706E5"/>
    <w:rsid w:val="008616CA"/>
    <w:rsid w:val="00982793"/>
    <w:rsid w:val="009B34DD"/>
    <w:rsid w:val="00AC10DD"/>
    <w:rsid w:val="00B60C81"/>
    <w:rsid w:val="00BD1224"/>
    <w:rsid w:val="00C14DFC"/>
    <w:rsid w:val="00C90B3A"/>
    <w:rsid w:val="00D12109"/>
    <w:rsid w:val="00D776C1"/>
    <w:rsid w:val="00DB60F0"/>
    <w:rsid w:val="00E54B06"/>
    <w:rsid w:val="00E87843"/>
    <w:rsid w:val="00F124F8"/>
    <w:rsid w:val="00F14437"/>
    <w:rsid w:val="00F2646A"/>
    <w:rsid w:val="00F55340"/>
    <w:rsid w:val="00F64573"/>
    <w:rsid w:val="00FF3D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7142"/>
  <w15:chartTrackingRefBased/>
  <w15:docId w15:val="{63054C36-2D0D-4690-AFF1-EAEEB71B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56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56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56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56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56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56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56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56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56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56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56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56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56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56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56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5670"/>
    <w:rPr>
      <w:rFonts w:eastAsiaTheme="majorEastAsia" w:cstheme="majorBidi"/>
      <w:color w:val="272727" w:themeColor="text1" w:themeTint="D8"/>
    </w:rPr>
  </w:style>
  <w:style w:type="paragraph" w:styleId="Titre">
    <w:name w:val="Title"/>
    <w:basedOn w:val="Normal"/>
    <w:next w:val="Normal"/>
    <w:link w:val="TitreCar"/>
    <w:uiPriority w:val="10"/>
    <w:qFormat/>
    <w:rsid w:val="002C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56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56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56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5670"/>
    <w:pPr>
      <w:spacing w:before="160"/>
      <w:jc w:val="center"/>
    </w:pPr>
    <w:rPr>
      <w:i/>
      <w:iCs/>
      <w:color w:val="404040" w:themeColor="text1" w:themeTint="BF"/>
    </w:rPr>
  </w:style>
  <w:style w:type="character" w:customStyle="1" w:styleId="CitationCar">
    <w:name w:val="Citation Car"/>
    <w:basedOn w:val="Policepardfaut"/>
    <w:link w:val="Citation"/>
    <w:uiPriority w:val="29"/>
    <w:rsid w:val="002C5670"/>
    <w:rPr>
      <w:i/>
      <w:iCs/>
      <w:color w:val="404040" w:themeColor="text1" w:themeTint="BF"/>
    </w:rPr>
  </w:style>
  <w:style w:type="paragraph" w:styleId="Paragraphedeliste">
    <w:name w:val="List Paragraph"/>
    <w:basedOn w:val="Normal"/>
    <w:uiPriority w:val="34"/>
    <w:qFormat/>
    <w:rsid w:val="002C5670"/>
    <w:pPr>
      <w:ind w:left="720"/>
      <w:contextualSpacing/>
    </w:pPr>
  </w:style>
  <w:style w:type="character" w:styleId="Accentuationintense">
    <w:name w:val="Intense Emphasis"/>
    <w:basedOn w:val="Policepardfaut"/>
    <w:uiPriority w:val="21"/>
    <w:qFormat/>
    <w:rsid w:val="002C5670"/>
    <w:rPr>
      <w:i/>
      <w:iCs/>
      <w:color w:val="0F4761" w:themeColor="accent1" w:themeShade="BF"/>
    </w:rPr>
  </w:style>
  <w:style w:type="paragraph" w:styleId="Citationintense">
    <w:name w:val="Intense Quote"/>
    <w:basedOn w:val="Normal"/>
    <w:next w:val="Normal"/>
    <w:link w:val="CitationintenseCar"/>
    <w:uiPriority w:val="30"/>
    <w:qFormat/>
    <w:rsid w:val="002C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5670"/>
    <w:rPr>
      <w:i/>
      <w:iCs/>
      <w:color w:val="0F4761" w:themeColor="accent1" w:themeShade="BF"/>
    </w:rPr>
  </w:style>
  <w:style w:type="character" w:styleId="Rfrenceintense">
    <w:name w:val="Intense Reference"/>
    <w:basedOn w:val="Policepardfaut"/>
    <w:uiPriority w:val="32"/>
    <w:qFormat/>
    <w:rsid w:val="002C5670"/>
    <w:rPr>
      <w:b/>
      <w:bCs/>
      <w:smallCaps/>
      <w:color w:val="0F4761" w:themeColor="accent1" w:themeShade="BF"/>
      <w:spacing w:val="5"/>
    </w:rPr>
  </w:style>
  <w:style w:type="paragraph" w:styleId="En-tte">
    <w:name w:val="header"/>
    <w:basedOn w:val="Normal"/>
    <w:link w:val="En-tteCar"/>
    <w:uiPriority w:val="99"/>
    <w:unhideWhenUsed/>
    <w:rsid w:val="002C5670"/>
    <w:pPr>
      <w:tabs>
        <w:tab w:val="center" w:pos="4536"/>
        <w:tab w:val="right" w:pos="9072"/>
      </w:tabs>
      <w:spacing w:after="0" w:line="240" w:lineRule="auto"/>
    </w:pPr>
  </w:style>
  <w:style w:type="character" w:customStyle="1" w:styleId="En-tteCar">
    <w:name w:val="En-tête Car"/>
    <w:basedOn w:val="Policepardfaut"/>
    <w:link w:val="En-tte"/>
    <w:uiPriority w:val="99"/>
    <w:rsid w:val="002C5670"/>
  </w:style>
  <w:style w:type="paragraph" w:styleId="Pieddepage">
    <w:name w:val="footer"/>
    <w:basedOn w:val="Normal"/>
    <w:link w:val="PieddepageCar"/>
    <w:uiPriority w:val="99"/>
    <w:unhideWhenUsed/>
    <w:rsid w:val="002C56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670"/>
  </w:style>
  <w:style w:type="table" w:styleId="Grilledutableau">
    <w:name w:val="Table Grid"/>
    <w:basedOn w:val="TableauNormal"/>
    <w:uiPriority w:val="39"/>
    <w:rsid w:val="002C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215">
      <w:bodyDiv w:val="1"/>
      <w:marLeft w:val="0"/>
      <w:marRight w:val="0"/>
      <w:marTop w:val="0"/>
      <w:marBottom w:val="0"/>
      <w:divBdr>
        <w:top w:val="none" w:sz="0" w:space="0" w:color="auto"/>
        <w:left w:val="none" w:sz="0" w:space="0" w:color="auto"/>
        <w:bottom w:val="none" w:sz="0" w:space="0" w:color="auto"/>
        <w:right w:val="none" w:sz="0" w:space="0" w:color="auto"/>
      </w:divBdr>
    </w:div>
    <w:div w:id="6130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 Ludivine</dc:creator>
  <cp:keywords/>
  <dc:description/>
  <cp:lastModifiedBy>Savoyen Corinne</cp:lastModifiedBy>
  <cp:revision>2</cp:revision>
  <dcterms:created xsi:type="dcterms:W3CDTF">2026-06-25T08:48:00Z</dcterms:created>
  <dcterms:modified xsi:type="dcterms:W3CDTF">2026-06-25T08:48:00Z</dcterms:modified>
</cp:coreProperties>
</file>