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962"/>
        <w:gridCol w:w="4110"/>
      </w:tblGrid>
      <w:tr w:rsidR="001415EB">
        <w:trPr>
          <w:cantSplit/>
          <w:trHeight w:val="280"/>
        </w:trPr>
        <w:tc>
          <w:tcPr>
            <w:tcW w:w="4962" w:type="dxa"/>
            <w:vMerge w:val="restart"/>
          </w:tcPr>
          <w:p w:rsidR="001415EB" w:rsidRDefault="00B44DCE" w:rsidP="00FE4C7C">
            <w:pPr>
              <w:pStyle w:val="Titre2"/>
              <w:ind w:left="284"/>
              <w:jc w:val="both"/>
              <w:rPr>
                <w:rFonts w:ascii="Times New Roman" w:hAnsi="Times New Roman"/>
              </w:rPr>
            </w:pPr>
            <w:r>
              <w:rPr>
                <w:noProof/>
                <w:lang w:val="fr-CH" w:eastAsia="fr-CH"/>
              </w:rPr>
              <w:drawing>
                <wp:anchor distT="0" distB="0" distL="114300" distR="114300" simplePos="0" relativeHeight="251658240" behindDoc="0" locked="0" layoutInCell="0" allowOverlap="1">
                  <wp:simplePos x="0" y="0"/>
                  <wp:positionH relativeFrom="column">
                    <wp:posOffset>-800100</wp:posOffset>
                  </wp:positionH>
                  <wp:positionV relativeFrom="paragraph">
                    <wp:posOffset>140335</wp:posOffset>
                  </wp:positionV>
                  <wp:extent cx="771525" cy="129540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7216" behindDoc="0" locked="0" layoutInCell="0" allowOverlap="1">
                  <wp:simplePos x="0" y="0"/>
                  <wp:positionH relativeFrom="column">
                    <wp:posOffset>-805815</wp:posOffset>
                  </wp:positionH>
                  <wp:positionV relativeFrom="paragraph">
                    <wp:posOffset>185420</wp:posOffset>
                  </wp:positionV>
                  <wp:extent cx="724535" cy="12401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1240155"/>
                          </a:xfrm>
                          <a:prstGeom prst="rect">
                            <a:avLst/>
                          </a:prstGeom>
                          <a:noFill/>
                        </pic:spPr>
                      </pic:pic>
                    </a:graphicData>
                  </a:graphic>
                  <wp14:sizeRelH relativeFrom="page">
                    <wp14:pctWidth>0</wp14:pctWidth>
                  </wp14:sizeRelH>
                  <wp14:sizeRelV relativeFrom="page">
                    <wp14:pctHeight>0</wp14:pctHeight>
                  </wp14:sizeRelV>
                </wp:anchor>
              </w:drawing>
            </w:r>
          </w:p>
          <w:p w:rsidR="00031C1A" w:rsidRPr="00045E76" w:rsidRDefault="00031C1A" w:rsidP="00FE4C7C">
            <w:pPr>
              <w:pStyle w:val="En-tte"/>
              <w:tabs>
                <w:tab w:val="clear" w:pos="4536"/>
                <w:tab w:val="clear" w:pos="9072"/>
              </w:tabs>
              <w:ind w:left="142"/>
              <w:jc w:val="both"/>
              <w:rPr>
                <w:b/>
                <w:sz w:val="10"/>
                <w:szCs w:val="10"/>
              </w:rPr>
            </w:pPr>
          </w:p>
          <w:p w:rsidR="001415EB" w:rsidRDefault="001415EB" w:rsidP="00FE4C7C">
            <w:pPr>
              <w:pStyle w:val="En-tte"/>
              <w:tabs>
                <w:tab w:val="clear" w:pos="4536"/>
                <w:tab w:val="clear" w:pos="9072"/>
              </w:tabs>
              <w:ind w:left="142"/>
              <w:jc w:val="both"/>
              <w:rPr>
                <w:b/>
                <w:sz w:val="20"/>
              </w:rPr>
            </w:pPr>
            <w:r>
              <w:rPr>
                <w:b/>
                <w:sz w:val="20"/>
              </w:rPr>
              <w:t>Tribunal cantonal</w:t>
            </w:r>
          </w:p>
          <w:p w:rsidR="001415EB" w:rsidRDefault="001415EB" w:rsidP="00FE4C7C">
            <w:pPr>
              <w:pStyle w:val="En-tte"/>
              <w:tabs>
                <w:tab w:val="clear" w:pos="4536"/>
                <w:tab w:val="clear" w:pos="9072"/>
              </w:tabs>
              <w:ind w:left="142"/>
              <w:jc w:val="both"/>
              <w:rPr>
                <w:rFonts w:ascii="Times New Roman" w:hAnsi="Times New Roman"/>
                <w:b/>
                <w:sz w:val="16"/>
              </w:rPr>
            </w:pPr>
          </w:p>
          <w:p w:rsidR="001415EB" w:rsidRDefault="001415EB" w:rsidP="00FE4C7C">
            <w:pPr>
              <w:pStyle w:val="En-tte2"/>
              <w:ind w:left="142"/>
              <w:jc w:val="both"/>
            </w:pPr>
          </w:p>
          <w:p w:rsidR="001415EB" w:rsidRDefault="001415EB" w:rsidP="00FE4C7C">
            <w:pPr>
              <w:pStyle w:val="En-tte2"/>
              <w:ind w:left="142"/>
              <w:jc w:val="both"/>
            </w:pPr>
          </w:p>
          <w:p w:rsidR="001415EB" w:rsidRDefault="001415EB" w:rsidP="00FE4C7C">
            <w:pPr>
              <w:pStyle w:val="En-tte"/>
              <w:tabs>
                <w:tab w:val="clear" w:pos="4536"/>
                <w:tab w:val="clear" w:pos="9072"/>
              </w:tabs>
              <w:ind w:left="142"/>
              <w:jc w:val="both"/>
              <w:rPr>
                <w:rFonts w:ascii="Times New Roman" w:hAnsi="Times New Roman"/>
                <w:sz w:val="20"/>
              </w:rPr>
            </w:pPr>
          </w:p>
          <w:p w:rsidR="001415EB" w:rsidRDefault="001415EB" w:rsidP="00FE4C7C">
            <w:pPr>
              <w:pStyle w:val="En-tte"/>
              <w:tabs>
                <w:tab w:val="clear" w:pos="4536"/>
                <w:tab w:val="clear" w:pos="9072"/>
              </w:tabs>
              <w:ind w:left="142"/>
              <w:jc w:val="both"/>
              <w:rPr>
                <w:rFonts w:ascii="Times New Roman" w:hAnsi="Times New Roman"/>
                <w:sz w:val="20"/>
              </w:rPr>
            </w:pPr>
          </w:p>
          <w:p w:rsidR="001415EB" w:rsidRDefault="001415EB" w:rsidP="00FE4C7C">
            <w:pPr>
              <w:pStyle w:val="En-tte"/>
              <w:tabs>
                <w:tab w:val="clear" w:pos="4536"/>
                <w:tab w:val="clear" w:pos="9072"/>
              </w:tabs>
              <w:ind w:left="0"/>
              <w:jc w:val="both"/>
              <w:rPr>
                <w:rFonts w:ascii="Times New Roman" w:hAnsi="Times New Roman"/>
              </w:rPr>
            </w:pPr>
          </w:p>
        </w:tc>
        <w:tc>
          <w:tcPr>
            <w:tcW w:w="4110" w:type="dxa"/>
            <w:tcBorders>
              <w:bottom w:val="single" w:sz="12" w:space="0" w:color="auto"/>
            </w:tcBorders>
          </w:tcPr>
          <w:p w:rsidR="001415EB" w:rsidRDefault="001415EB" w:rsidP="00FE4C7C">
            <w:pPr>
              <w:pStyle w:val="Titre4"/>
              <w:spacing w:before="0"/>
              <w:jc w:val="both"/>
            </w:pPr>
          </w:p>
        </w:tc>
      </w:tr>
      <w:tr w:rsidR="001415EB">
        <w:trPr>
          <w:cantSplit/>
          <w:trHeight w:val="405"/>
        </w:trPr>
        <w:tc>
          <w:tcPr>
            <w:tcW w:w="4962" w:type="dxa"/>
            <w:vMerge/>
          </w:tcPr>
          <w:p w:rsidR="001415EB" w:rsidRDefault="001415EB" w:rsidP="00FE4C7C">
            <w:pPr>
              <w:pStyle w:val="Titre2"/>
              <w:ind w:left="284"/>
              <w:jc w:val="both"/>
              <w:rPr>
                <w:noProof/>
              </w:rPr>
            </w:pPr>
          </w:p>
        </w:tc>
        <w:tc>
          <w:tcPr>
            <w:tcW w:w="4110" w:type="dxa"/>
            <w:tcBorders>
              <w:top w:val="single" w:sz="12" w:space="0" w:color="auto"/>
              <w:left w:val="single" w:sz="12" w:space="0" w:color="auto"/>
              <w:bottom w:val="single" w:sz="12" w:space="0" w:color="auto"/>
              <w:right w:val="single" w:sz="12" w:space="0" w:color="auto"/>
            </w:tcBorders>
            <w:shd w:val="pct20" w:color="auto" w:fill="FFFFFF"/>
          </w:tcPr>
          <w:p w:rsidR="00290D19" w:rsidRDefault="00290D19" w:rsidP="00FE4C7C">
            <w:pPr>
              <w:pStyle w:val="Titre4"/>
              <w:spacing w:before="0"/>
              <w:jc w:val="both"/>
              <w:rPr>
                <w:b/>
              </w:rPr>
            </w:pPr>
          </w:p>
          <w:p w:rsidR="001415EB" w:rsidRDefault="00C53DBF" w:rsidP="00FE4C7C">
            <w:pPr>
              <w:pStyle w:val="Titre4"/>
              <w:spacing w:before="0"/>
              <w:jc w:val="both"/>
              <w:rPr>
                <w:b/>
              </w:rPr>
            </w:pPr>
            <w:r>
              <w:rPr>
                <w:b/>
              </w:rPr>
              <w:t>Circulaire du TC</w:t>
            </w:r>
            <w:r w:rsidR="001415EB">
              <w:rPr>
                <w:b/>
              </w:rPr>
              <w:t xml:space="preserve"> N</w:t>
            </w:r>
            <w:r w:rsidR="001415EB">
              <w:rPr>
                <w:b/>
                <w:vertAlign w:val="superscript"/>
              </w:rPr>
              <w:t>o</w:t>
            </w:r>
            <w:r w:rsidR="001415EB">
              <w:rPr>
                <w:b/>
              </w:rPr>
              <w:t xml:space="preserve"> </w:t>
            </w:r>
            <w:r w:rsidR="00045E76">
              <w:rPr>
                <w:b/>
              </w:rPr>
              <w:t>6</w:t>
            </w:r>
            <w:r w:rsidRPr="00D96DAD">
              <w:rPr>
                <w:b/>
              </w:rPr>
              <w:fldChar w:fldCharType="begin"/>
            </w:r>
            <w:r w:rsidR="00741A0F" w:rsidRPr="00D96DAD">
              <w:rPr>
                <w:b/>
              </w:rPr>
              <w:instrText>()</w:instrText>
            </w:r>
            <w:r w:rsidRPr="00D96DAD">
              <w:rPr>
                <w:b/>
              </w:rPr>
              <w:fldChar w:fldCharType="end"/>
            </w:r>
            <w:r w:rsidR="001415EB" w:rsidRPr="00D96DAD">
              <w:rPr>
                <w:b/>
              </w:rPr>
              <w:t xml:space="preserve"> du </w:t>
            </w:r>
            <w:r w:rsidR="00F32D6D">
              <w:rPr>
                <w:b/>
              </w:rPr>
              <w:t>23.03.2019</w:t>
            </w:r>
            <w:r w:rsidRPr="00402C46">
              <w:rPr>
                <w:b/>
                <w:highlight w:val="red"/>
              </w:rPr>
              <w:fldChar w:fldCharType="begin"/>
            </w:r>
            <w:r w:rsidR="00741A0F">
              <w:rPr>
                <w:b/>
                <w:highlight w:val="red"/>
              </w:rPr>
              <w:instrText>()</w:instrText>
            </w:r>
            <w:r w:rsidRPr="00402C46">
              <w:rPr>
                <w:b/>
                <w:highlight w:val="red"/>
              </w:rPr>
              <w:fldChar w:fldCharType="end"/>
            </w:r>
          </w:p>
          <w:p w:rsidR="001415EB" w:rsidRDefault="001415EB" w:rsidP="00FE4C7C">
            <w:pPr>
              <w:jc w:val="both"/>
            </w:pPr>
          </w:p>
        </w:tc>
      </w:tr>
      <w:tr w:rsidR="001415EB">
        <w:trPr>
          <w:cantSplit/>
          <w:trHeight w:hRule="exact" w:val="2163"/>
        </w:trPr>
        <w:tc>
          <w:tcPr>
            <w:tcW w:w="4962" w:type="dxa"/>
            <w:vMerge/>
          </w:tcPr>
          <w:p w:rsidR="001415EB" w:rsidRDefault="001415EB" w:rsidP="00FE4C7C">
            <w:pPr>
              <w:pStyle w:val="Titre2"/>
              <w:ind w:left="283"/>
              <w:jc w:val="both"/>
              <w:rPr>
                <w:noProof/>
              </w:rPr>
            </w:pPr>
          </w:p>
        </w:tc>
        <w:tc>
          <w:tcPr>
            <w:tcW w:w="4110" w:type="dxa"/>
            <w:tcBorders>
              <w:top w:val="single" w:sz="12" w:space="0" w:color="auto"/>
            </w:tcBorders>
          </w:tcPr>
          <w:p w:rsidR="00031C1A" w:rsidRDefault="001415EB" w:rsidP="00DE2CE7">
            <w:pPr>
              <w:spacing w:before="160" w:after="120"/>
              <w:ind w:left="142"/>
            </w:pPr>
            <w:r>
              <w:t>Aux :</w:t>
            </w:r>
          </w:p>
          <w:p w:rsidR="00896B7B" w:rsidRPr="00031C1A" w:rsidRDefault="00031C1A" w:rsidP="00910AFA">
            <w:pPr>
              <w:numPr>
                <w:ilvl w:val="0"/>
                <w:numId w:val="3"/>
              </w:numPr>
            </w:pPr>
            <w:r>
              <w:t>Juges</w:t>
            </w:r>
            <w:r w:rsidR="00F60E72">
              <w:t xml:space="preserve"> de paix</w:t>
            </w:r>
          </w:p>
        </w:tc>
      </w:tr>
      <w:tr w:rsidR="001415EB" w:rsidTr="00290D19">
        <w:trPr>
          <w:cantSplit/>
          <w:trHeight w:val="816"/>
        </w:trPr>
        <w:tc>
          <w:tcPr>
            <w:tcW w:w="9072" w:type="dxa"/>
            <w:gridSpan w:val="2"/>
            <w:tcBorders>
              <w:top w:val="single" w:sz="12" w:space="0" w:color="auto"/>
              <w:left w:val="single" w:sz="12" w:space="0" w:color="auto"/>
              <w:bottom w:val="single" w:sz="12" w:space="0" w:color="auto"/>
              <w:right w:val="single" w:sz="12" w:space="0" w:color="auto"/>
            </w:tcBorders>
          </w:tcPr>
          <w:p w:rsidR="00290D19" w:rsidRDefault="00290D19" w:rsidP="00FE4C7C">
            <w:pPr>
              <w:jc w:val="center"/>
              <w:rPr>
                <w:b/>
                <w:sz w:val="24"/>
              </w:rPr>
            </w:pPr>
          </w:p>
          <w:p w:rsidR="001415EB" w:rsidRDefault="00896B7B" w:rsidP="00FE4C7C">
            <w:pPr>
              <w:jc w:val="center"/>
              <w:rPr>
                <w:b/>
                <w:sz w:val="24"/>
              </w:rPr>
            </w:pPr>
            <w:r>
              <w:rPr>
                <w:b/>
                <w:sz w:val="24"/>
              </w:rPr>
              <w:t>Délivrance du certificat d'héritier</w:t>
            </w:r>
          </w:p>
        </w:tc>
      </w:tr>
    </w:tbl>
    <w:p w:rsidR="001415EB" w:rsidRDefault="001415EB" w:rsidP="00FE4C7C">
      <w:pPr>
        <w:tabs>
          <w:tab w:val="left" w:pos="3828"/>
          <w:tab w:val="left" w:pos="5954"/>
        </w:tabs>
        <w:jc w:val="both"/>
      </w:pPr>
    </w:p>
    <w:p w:rsidR="001415EB" w:rsidRDefault="001415EB" w:rsidP="00FE4C7C">
      <w:pPr>
        <w:tabs>
          <w:tab w:val="left" w:pos="3828"/>
          <w:tab w:val="left" w:pos="5954"/>
        </w:tabs>
        <w:jc w:val="both"/>
      </w:pPr>
    </w:p>
    <w:p w:rsidR="000D4D95" w:rsidRDefault="007A75C1" w:rsidP="00FE4C7C">
      <w:pPr>
        <w:widowControl w:val="0"/>
        <w:numPr>
          <w:ilvl w:val="0"/>
          <w:numId w:val="5"/>
        </w:numPr>
        <w:jc w:val="both"/>
        <w:rPr>
          <w:b/>
          <w:snapToGrid w:val="0"/>
        </w:rPr>
      </w:pPr>
      <w:r>
        <w:rPr>
          <w:b/>
          <w:snapToGrid w:val="0"/>
        </w:rPr>
        <w:t>Compétence locale</w:t>
      </w:r>
    </w:p>
    <w:p w:rsidR="000D4D95" w:rsidRDefault="000D4D95" w:rsidP="00FE4C7C">
      <w:pPr>
        <w:tabs>
          <w:tab w:val="left" w:pos="3544"/>
          <w:tab w:val="left" w:pos="5954"/>
        </w:tabs>
        <w:jc w:val="both"/>
      </w:pPr>
    </w:p>
    <w:p w:rsidR="0097441C" w:rsidRDefault="0097441C" w:rsidP="00FE4C7C">
      <w:pPr>
        <w:widowControl w:val="0"/>
        <w:jc w:val="both"/>
      </w:pPr>
      <w:r>
        <w:t xml:space="preserve">Est compétent pour délivrer le certificat d’héritier le juge du </w:t>
      </w:r>
      <w:r w:rsidR="00DC67BE">
        <w:t>dernier domicile du défunt</w:t>
      </w:r>
      <w:r w:rsidR="00E336D6">
        <w:t xml:space="preserve"> (art. </w:t>
      </w:r>
      <w:r>
        <w:t>538 al. 1 CC et 107 al. 2 CDPJ) et, dans les cas prévus aux art. 87 et 88 LDIP, le juge du lieu d’origine du défunt, respectivement du lieu de situation des immeubles sis dans le canton.</w:t>
      </w:r>
    </w:p>
    <w:p w:rsidR="0097441C" w:rsidRDefault="0097441C" w:rsidP="00FE4C7C">
      <w:pPr>
        <w:widowControl w:val="0"/>
        <w:jc w:val="both"/>
      </w:pPr>
    </w:p>
    <w:p w:rsidR="000D4D95" w:rsidRPr="00513232" w:rsidRDefault="007A75C1" w:rsidP="00FE4C7C">
      <w:pPr>
        <w:widowControl w:val="0"/>
        <w:numPr>
          <w:ilvl w:val="0"/>
          <w:numId w:val="5"/>
        </w:numPr>
        <w:jc w:val="both"/>
        <w:rPr>
          <w:b/>
          <w:snapToGrid w:val="0"/>
        </w:rPr>
      </w:pPr>
      <w:r w:rsidRPr="00513232">
        <w:rPr>
          <w:b/>
          <w:snapToGrid w:val="0"/>
        </w:rPr>
        <w:t xml:space="preserve">Compétence </w:t>
      </w:r>
      <w:r w:rsidR="0097441C">
        <w:rPr>
          <w:b/>
          <w:snapToGrid w:val="0"/>
        </w:rPr>
        <w:t>matérielle</w:t>
      </w:r>
    </w:p>
    <w:p w:rsidR="007A75C1" w:rsidRPr="00513232" w:rsidRDefault="007A75C1" w:rsidP="00FE4C7C">
      <w:pPr>
        <w:tabs>
          <w:tab w:val="left" w:pos="3544"/>
          <w:tab w:val="left" w:pos="5954"/>
        </w:tabs>
        <w:jc w:val="both"/>
      </w:pPr>
    </w:p>
    <w:p w:rsidR="0097441C" w:rsidRDefault="007A75C1" w:rsidP="00FE4C7C">
      <w:pPr>
        <w:widowControl w:val="0"/>
        <w:jc w:val="both"/>
        <w:rPr>
          <w:snapToGrid w:val="0"/>
        </w:rPr>
      </w:pPr>
      <w:r w:rsidRPr="00513232">
        <w:rPr>
          <w:snapToGrid w:val="0"/>
        </w:rPr>
        <w:t>Le juge compétent pour établir le certificat d'héritier en application des art. 559 CC</w:t>
      </w:r>
      <w:r w:rsidR="00AE3AC1">
        <w:rPr>
          <w:snapToGrid w:val="0"/>
        </w:rPr>
        <w:t xml:space="preserve"> et</w:t>
      </w:r>
      <w:r w:rsidR="00AE3AC1" w:rsidRPr="00513232">
        <w:rPr>
          <w:snapToGrid w:val="0"/>
        </w:rPr>
        <w:t xml:space="preserve"> </w:t>
      </w:r>
      <w:r w:rsidRPr="00513232">
        <w:rPr>
          <w:snapToGrid w:val="0"/>
        </w:rPr>
        <w:t>65</w:t>
      </w:r>
      <w:r w:rsidR="00180D94">
        <w:rPr>
          <w:snapToGrid w:val="0"/>
        </w:rPr>
        <w:t> </w:t>
      </w:r>
      <w:r w:rsidRPr="00513232">
        <w:rPr>
          <w:snapToGrid w:val="0"/>
        </w:rPr>
        <w:t xml:space="preserve">al. 1 let. </w:t>
      </w:r>
      <w:proofErr w:type="spellStart"/>
      <w:r w:rsidRPr="00513232">
        <w:rPr>
          <w:snapToGrid w:val="0"/>
        </w:rPr>
        <w:t>a</w:t>
      </w:r>
      <w:proofErr w:type="spellEnd"/>
      <w:r w:rsidRPr="00513232">
        <w:rPr>
          <w:snapToGrid w:val="0"/>
        </w:rPr>
        <w:t xml:space="preserve"> </w:t>
      </w:r>
      <w:r w:rsidR="00AE3AC1">
        <w:rPr>
          <w:snapToGrid w:val="0"/>
        </w:rPr>
        <w:t>ORF</w:t>
      </w:r>
      <w:r w:rsidRPr="00513232">
        <w:rPr>
          <w:snapToGrid w:val="0"/>
        </w:rPr>
        <w:t xml:space="preserve"> est le juge de paix</w:t>
      </w:r>
      <w:r w:rsidR="005A739C" w:rsidRPr="00513232">
        <w:rPr>
          <w:snapToGrid w:val="0"/>
        </w:rPr>
        <w:t xml:space="preserve"> (</w:t>
      </w:r>
      <w:r w:rsidRPr="00513232">
        <w:rPr>
          <w:snapToGrid w:val="0"/>
        </w:rPr>
        <w:t xml:space="preserve">art. 5 al. 1 </w:t>
      </w:r>
      <w:r w:rsidR="00AE3AC1">
        <w:rPr>
          <w:snapToGrid w:val="0"/>
        </w:rPr>
        <w:t xml:space="preserve">ch. 12 </w:t>
      </w:r>
      <w:r w:rsidR="00FA3668" w:rsidRPr="00513232">
        <w:rPr>
          <w:snapToGrid w:val="0"/>
        </w:rPr>
        <w:t>CDPJ).</w:t>
      </w:r>
    </w:p>
    <w:p w:rsidR="0097441C" w:rsidRDefault="0097441C" w:rsidP="00FE4C7C">
      <w:pPr>
        <w:widowControl w:val="0"/>
        <w:jc w:val="both"/>
        <w:rPr>
          <w:snapToGrid w:val="0"/>
        </w:rPr>
      </w:pPr>
    </w:p>
    <w:p w:rsidR="0097441C" w:rsidRPr="0097441C" w:rsidRDefault="0097441C" w:rsidP="00FE4C7C">
      <w:pPr>
        <w:widowControl w:val="0"/>
        <w:numPr>
          <w:ilvl w:val="0"/>
          <w:numId w:val="5"/>
        </w:numPr>
        <w:jc w:val="both"/>
        <w:rPr>
          <w:b/>
          <w:snapToGrid w:val="0"/>
        </w:rPr>
      </w:pPr>
      <w:r w:rsidRPr="0097441C">
        <w:rPr>
          <w:b/>
        </w:rPr>
        <w:t>Verbalisation des opérations au procès-verbal</w:t>
      </w:r>
    </w:p>
    <w:p w:rsidR="0097441C" w:rsidRPr="0097441C" w:rsidRDefault="0097441C" w:rsidP="00241B19">
      <w:pPr>
        <w:widowControl w:val="0"/>
        <w:jc w:val="both"/>
        <w:rPr>
          <w:snapToGrid w:val="0"/>
        </w:rPr>
      </w:pPr>
    </w:p>
    <w:p w:rsidR="0097441C" w:rsidRDefault="0097441C" w:rsidP="00FE4C7C">
      <w:pPr>
        <w:widowControl w:val="0"/>
        <w:jc w:val="both"/>
      </w:pPr>
      <w:r>
        <w:t>Sont verbalisé</w:t>
      </w:r>
      <w:r w:rsidR="00FE4C7C">
        <w:t>e</w:t>
      </w:r>
      <w:r w:rsidR="004773A9">
        <w:t>s</w:t>
      </w:r>
      <w:r>
        <w:t xml:space="preserve"> au procès-verbal :</w:t>
      </w:r>
    </w:p>
    <w:p w:rsidR="00F146F2" w:rsidRDefault="00F146F2" w:rsidP="00FE4C7C">
      <w:pPr>
        <w:widowControl w:val="0"/>
        <w:jc w:val="both"/>
      </w:pPr>
    </w:p>
    <w:p w:rsidR="00DC67BE" w:rsidRDefault="00DC67BE" w:rsidP="00FE4C7C">
      <w:pPr>
        <w:widowControl w:val="0"/>
        <w:numPr>
          <w:ilvl w:val="0"/>
          <w:numId w:val="3"/>
        </w:numPr>
        <w:jc w:val="both"/>
      </w:pPr>
      <w:r>
        <w:t>la remise des dispositions pour cause de mort du défunt,</w:t>
      </w:r>
    </w:p>
    <w:p w:rsidR="0097441C" w:rsidRDefault="0097441C" w:rsidP="00FE4C7C">
      <w:pPr>
        <w:widowControl w:val="0"/>
        <w:numPr>
          <w:ilvl w:val="0"/>
          <w:numId w:val="3"/>
        </w:numPr>
        <w:jc w:val="both"/>
      </w:pPr>
      <w:r>
        <w:t>l’acceptation ou la répudiation des héritiers,</w:t>
      </w:r>
    </w:p>
    <w:p w:rsidR="0097441C" w:rsidRDefault="0097441C" w:rsidP="00FE4C7C">
      <w:pPr>
        <w:widowControl w:val="0"/>
        <w:numPr>
          <w:ilvl w:val="0"/>
          <w:numId w:val="3"/>
        </w:numPr>
        <w:jc w:val="both"/>
      </w:pPr>
      <w:r>
        <w:t xml:space="preserve">la requête des héritiers, de l’usufruitier ou de l’exécuteur </w:t>
      </w:r>
      <w:r w:rsidR="00862B36">
        <w:t xml:space="preserve">testamentaire </w:t>
      </w:r>
      <w:r>
        <w:t>tendant à la délivrance du certificat d’héritier</w:t>
      </w:r>
      <w:r w:rsidR="00862B36">
        <w:t>,</w:t>
      </w:r>
    </w:p>
    <w:p w:rsidR="0097441C" w:rsidRDefault="0097441C" w:rsidP="00FE4C7C">
      <w:pPr>
        <w:widowControl w:val="0"/>
        <w:numPr>
          <w:ilvl w:val="0"/>
          <w:numId w:val="3"/>
        </w:numPr>
        <w:jc w:val="both"/>
      </w:pPr>
      <w:r>
        <w:t>la délivrance de toute expédition du certificat d’héritier</w:t>
      </w:r>
      <w:r w:rsidR="00E336D6">
        <w:t>,</w:t>
      </w:r>
    </w:p>
    <w:p w:rsidR="00E336D6" w:rsidRDefault="00E336D6" w:rsidP="00E336D6">
      <w:pPr>
        <w:widowControl w:val="0"/>
        <w:numPr>
          <w:ilvl w:val="0"/>
          <w:numId w:val="3"/>
        </w:numPr>
        <w:jc w:val="both"/>
      </w:pPr>
      <w:r>
        <w:t>la décision du juge de refuser de délivrer le certificat d’héritier.</w:t>
      </w:r>
    </w:p>
    <w:p w:rsidR="0097441C" w:rsidRDefault="0097441C" w:rsidP="00FE4C7C">
      <w:pPr>
        <w:widowControl w:val="0"/>
        <w:jc w:val="both"/>
      </w:pPr>
    </w:p>
    <w:p w:rsidR="0097441C" w:rsidRDefault="0097441C" w:rsidP="00FE4C7C">
      <w:pPr>
        <w:widowControl w:val="0"/>
        <w:jc w:val="both"/>
      </w:pPr>
      <w:r>
        <w:t>Le certificat d’héritier est versé au registre de la justice de paix.</w:t>
      </w:r>
    </w:p>
    <w:p w:rsidR="0097441C" w:rsidRDefault="0097441C" w:rsidP="00FE4C7C">
      <w:pPr>
        <w:widowControl w:val="0"/>
        <w:jc w:val="both"/>
      </w:pPr>
    </w:p>
    <w:p w:rsidR="0097441C" w:rsidRPr="0097441C" w:rsidRDefault="0097441C" w:rsidP="00FE4C7C">
      <w:pPr>
        <w:widowControl w:val="0"/>
        <w:numPr>
          <w:ilvl w:val="0"/>
          <w:numId w:val="5"/>
        </w:numPr>
        <w:jc w:val="both"/>
        <w:rPr>
          <w:b/>
        </w:rPr>
      </w:pPr>
      <w:r w:rsidRPr="0097441C">
        <w:rPr>
          <w:b/>
        </w:rPr>
        <w:t>Détermination du cercle des héritiers</w:t>
      </w:r>
    </w:p>
    <w:p w:rsidR="0097441C" w:rsidRDefault="0097441C" w:rsidP="00241B19">
      <w:pPr>
        <w:widowControl w:val="0"/>
        <w:jc w:val="both"/>
      </w:pPr>
    </w:p>
    <w:p w:rsidR="00862B36" w:rsidRDefault="0097441C" w:rsidP="00FE4C7C">
      <w:pPr>
        <w:widowControl w:val="0"/>
        <w:jc w:val="both"/>
      </w:pPr>
      <w:r>
        <w:t>Aussitôt après le décès, le juge de paix s’enquiert de la personne des héritiers (art. 126 al.</w:t>
      </w:r>
      <w:r w:rsidR="004773A9">
        <w:t> </w:t>
      </w:r>
      <w:r w:rsidR="00786870">
        <w:t>1 CDPJ).</w:t>
      </w:r>
    </w:p>
    <w:p w:rsidR="00862B36" w:rsidRDefault="00862B36" w:rsidP="00FE4C7C">
      <w:pPr>
        <w:widowControl w:val="0"/>
        <w:jc w:val="both"/>
      </w:pPr>
    </w:p>
    <w:p w:rsidR="004773A9" w:rsidRDefault="0097441C" w:rsidP="00FE4C7C">
      <w:pPr>
        <w:widowControl w:val="0"/>
        <w:numPr>
          <w:ilvl w:val="1"/>
          <w:numId w:val="5"/>
        </w:numPr>
        <w:jc w:val="both"/>
        <w:rPr>
          <w:u w:val="single"/>
        </w:rPr>
      </w:pPr>
      <w:r w:rsidRPr="004773A9">
        <w:rPr>
          <w:u w:val="single"/>
        </w:rPr>
        <w:t xml:space="preserve">Successions </w:t>
      </w:r>
      <w:r w:rsidR="00DC67BE">
        <w:rPr>
          <w:u w:val="single"/>
        </w:rPr>
        <w:t>ab intestat</w:t>
      </w:r>
    </w:p>
    <w:p w:rsidR="004773A9" w:rsidRDefault="004773A9" w:rsidP="00FE4C7C">
      <w:pPr>
        <w:widowControl w:val="0"/>
        <w:ind w:left="360"/>
        <w:jc w:val="both"/>
      </w:pPr>
    </w:p>
    <w:p w:rsidR="0097441C" w:rsidRDefault="0097441C" w:rsidP="00FE4C7C">
      <w:pPr>
        <w:widowControl w:val="0"/>
        <w:jc w:val="both"/>
      </w:pPr>
      <w:r>
        <w:t>Le juge de paix procède aux recherches nécessaires pour déterminer le cercle des héritiers légaux. Lorsqu’il ignore si le défunt a laissé des héritiers ou lorsqu’il n’a pas la certitude de les connaître tous, il procède à une publication au sens des art. 555 al. 1 CC et 126 al. 3 CDPJ (appel aux héritiers).</w:t>
      </w:r>
    </w:p>
    <w:p w:rsidR="0097441C" w:rsidRDefault="0097441C" w:rsidP="00FE4C7C">
      <w:pPr>
        <w:widowControl w:val="0"/>
        <w:jc w:val="both"/>
      </w:pPr>
    </w:p>
    <w:p w:rsidR="0097441C" w:rsidRDefault="0097441C" w:rsidP="00FE4C7C">
      <w:pPr>
        <w:widowControl w:val="0"/>
        <w:jc w:val="both"/>
      </w:pPr>
      <w:r>
        <w:t>En dérogation à ce qui précède :</w:t>
      </w:r>
    </w:p>
    <w:p w:rsidR="0097441C" w:rsidRDefault="0097441C" w:rsidP="00FE4C7C">
      <w:pPr>
        <w:widowControl w:val="0"/>
        <w:jc w:val="both"/>
      </w:pPr>
    </w:p>
    <w:p w:rsidR="0097441C" w:rsidRDefault="0097441C" w:rsidP="00FE4C7C">
      <w:pPr>
        <w:widowControl w:val="0"/>
        <w:numPr>
          <w:ilvl w:val="0"/>
          <w:numId w:val="3"/>
        </w:numPr>
        <w:jc w:val="both"/>
      </w:pPr>
      <w:r>
        <w:t>les succession</w:t>
      </w:r>
      <w:r w:rsidR="00DC67BE">
        <w:t>s</w:t>
      </w:r>
      <w:r>
        <w:t xml:space="preserve"> dans lesquelles les héritiers sont inconnus ou introuvables, dont le patrimoine</w:t>
      </w:r>
      <w:r w:rsidR="00DC67BE">
        <w:t xml:space="preserve"> successoral</w:t>
      </w:r>
      <w:r>
        <w:t xml:space="preserve"> est inférieur à 7'000 </w:t>
      </w:r>
      <w:proofErr w:type="spellStart"/>
      <w:r>
        <w:t>fr.</w:t>
      </w:r>
      <w:proofErr w:type="spellEnd"/>
      <w:r>
        <w:t>, sont traitées comme notoirement insolvable</w:t>
      </w:r>
      <w:r w:rsidR="00DC67BE">
        <w:t>s</w:t>
      </w:r>
      <w:r>
        <w:t xml:space="preserve"> en raison des frais présumés</w:t>
      </w:r>
      <w:r w:rsidR="00290D19">
        <w:t xml:space="preserve"> </w:t>
      </w:r>
      <w:r>
        <w:t>;</w:t>
      </w:r>
    </w:p>
    <w:p w:rsidR="00DC67BE" w:rsidRDefault="00DC67BE" w:rsidP="00DC67BE">
      <w:pPr>
        <w:widowControl w:val="0"/>
        <w:ind w:left="502"/>
        <w:jc w:val="both"/>
      </w:pPr>
    </w:p>
    <w:p w:rsidR="00DC67BE" w:rsidRDefault="00DC67BE" w:rsidP="00DC67BE">
      <w:pPr>
        <w:widowControl w:val="0"/>
        <w:ind w:left="502"/>
        <w:jc w:val="both"/>
      </w:pPr>
    </w:p>
    <w:p w:rsidR="00786870" w:rsidRDefault="0097441C" w:rsidP="00FE4C7C">
      <w:pPr>
        <w:widowControl w:val="0"/>
        <w:numPr>
          <w:ilvl w:val="0"/>
          <w:numId w:val="3"/>
        </w:numPr>
        <w:jc w:val="both"/>
      </w:pPr>
      <w:r>
        <w:t xml:space="preserve">en cas d’héritiers inconnus dans la deuxième ou la troisième parentèle, à l’égard desquels il est probable que les recherches ne mèneront à rien, il est renoncé à celles-ci et à la publication, pour autant que la part revenant à l’héritier inconnu </w:t>
      </w:r>
      <w:r w:rsidR="00786870">
        <w:t xml:space="preserve">s’élève à 10'000 </w:t>
      </w:r>
      <w:proofErr w:type="spellStart"/>
      <w:r w:rsidR="00786870">
        <w:t>fr.</w:t>
      </w:r>
      <w:proofErr w:type="spellEnd"/>
      <w:r w:rsidR="00786870">
        <w:t xml:space="preserve"> au maximum</w:t>
      </w:r>
      <w:r>
        <w:t xml:space="preserve">, respectivement à 30'000 </w:t>
      </w:r>
      <w:proofErr w:type="spellStart"/>
      <w:r>
        <w:t>fr.</w:t>
      </w:r>
      <w:proofErr w:type="spellEnd"/>
      <w:r>
        <w:t xml:space="preserve"> au maximum </w:t>
      </w:r>
      <w:r w:rsidR="0030746C">
        <w:t xml:space="preserve">(et </w:t>
      </w:r>
      <w:r w:rsidR="0036392D">
        <w:t xml:space="preserve">qu’il n’y ait </w:t>
      </w:r>
      <w:r w:rsidR="0030746C">
        <w:t xml:space="preserve">pas d’immeuble) </w:t>
      </w:r>
      <w:r>
        <w:t>en cas de pluralité d’héritiers inconnus</w:t>
      </w:r>
      <w:r w:rsidR="00241B19">
        <w:t> ;</w:t>
      </w:r>
    </w:p>
    <w:p w:rsidR="00C0685B" w:rsidRPr="00FE4C7C" w:rsidRDefault="0097441C" w:rsidP="00FE4C7C">
      <w:pPr>
        <w:widowControl w:val="0"/>
        <w:numPr>
          <w:ilvl w:val="0"/>
          <w:numId w:val="3"/>
        </w:numPr>
        <w:jc w:val="both"/>
      </w:pPr>
      <w:r>
        <w:t xml:space="preserve">lorsque tous les héritiers sont inconnus, la publication prévue par l’art. 555 al. 1 CC </w:t>
      </w:r>
      <w:r w:rsidRPr="00FE4C7C">
        <w:t>est effectuée uniquement dans la Feui</w:t>
      </w:r>
      <w:r w:rsidR="00DC67BE">
        <w:t>lle des avis officiels vaudoise</w:t>
      </w:r>
      <w:r w:rsidR="00290D19">
        <w:t xml:space="preserve"> </w:t>
      </w:r>
      <w:r w:rsidRPr="00FE4C7C">
        <w:t>; il est renoncé à des publications dans d’autres cantons ou pays.</w:t>
      </w:r>
      <w:r w:rsidR="00C0685B" w:rsidRPr="00FE4C7C">
        <w:t xml:space="preserve"> </w:t>
      </w:r>
    </w:p>
    <w:p w:rsidR="00C0685B" w:rsidRPr="00FE4C7C" w:rsidRDefault="00C0685B" w:rsidP="00FE4C7C">
      <w:pPr>
        <w:widowControl w:val="0"/>
        <w:jc w:val="both"/>
      </w:pPr>
    </w:p>
    <w:p w:rsidR="00786870" w:rsidRDefault="00C0685B" w:rsidP="00FE4C7C">
      <w:pPr>
        <w:widowControl w:val="0"/>
        <w:jc w:val="both"/>
      </w:pPr>
      <w:r w:rsidRPr="00FE4C7C">
        <w:t>Lorsqu’un héritier légal répudie, la part du renonçant est dévolue comme s’il n’avait pas survécu (art. 572 al. 1 CC).</w:t>
      </w:r>
      <w:r w:rsidR="002A13D4">
        <w:t xml:space="preserve"> I</w:t>
      </w:r>
      <w:r w:rsidRPr="00FE4C7C">
        <w:t xml:space="preserve">l </w:t>
      </w:r>
      <w:r w:rsidR="00DC67BE">
        <w:t>est</w:t>
      </w:r>
      <w:r w:rsidRPr="00FE4C7C">
        <w:t xml:space="preserve"> </w:t>
      </w:r>
      <w:r w:rsidR="002A13D4">
        <w:t xml:space="preserve">toutefois </w:t>
      </w:r>
      <w:r w:rsidRPr="00FE4C7C">
        <w:t>renoncé à l’interpellation des descendants des héritiers de la deuxième parentèle, lorsque l’ensemble de ceux-ci, en concours avec le conjoint survivant, répudie</w:t>
      </w:r>
      <w:r w:rsidR="00FE4C7C" w:rsidRPr="00FE4C7C">
        <w:t xml:space="preserve"> </w:t>
      </w:r>
      <w:r w:rsidRPr="00FE4C7C">
        <w:t xml:space="preserve">la succession, pour autant que le patrimoine successoral soit inférieur à 50'000 </w:t>
      </w:r>
      <w:proofErr w:type="spellStart"/>
      <w:r w:rsidRPr="00FE4C7C">
        <w:t>fr.</w:t>
      </w:r>
      <w:proofErr w:type="spellEnd"/>
      <w:r w:rsidRPr="00FE4C7C">
        <w:t xml:space="preserve"> </w:t>
      </w:r>
      <w:r w:rsidR="0030746C">
        <w:t>(</w:t>
      </w:r>
      <w:r w:rsidRPr="00FE4C7C">
        <w:t xml:space="preserve">et </w:t>
      </w:r>
      <w:r w:rsidR="00DC67BE">
        <w:t>qu’il</w:t>
      </w:r>
      <w:r w:rsidRPr="00FE4C7C">
        <w:t xml:space="preserve"> n’y ait pas d’immeuble).  </w:t>
      </w:r>
    </w:p>
    <w:p w:rsidR="00786870" w:rsidRDefault="00786870" w:rsidP="00890BCD">
      <w:pPr>
        <w:widowControl w:val="0"/>
        <w:jc w:val="both"/>
      </w:pPr>
    </w:p>
    <w:p w:rsidR="0097441C" w:rsidRPr="00786870" w:rsidRDefault="0097441C" w:rsidP="00FE4C7C">
      <w:pPr>
        <w:widowControl w:val="0"/>
        <w:numPr>
          <w:ilvl w:val="1"/>
          <w:numId w:val="5"/>
        </w:numPr>
        <w:jc w:val="both"/>
        <w:rPr>
          <w:u w:val="single"/>
        </w:rPr>
      </w:pPr>
      <w:r w:rsidRPr="00786870">
        <w:rPr>
          <w:u w:val="single"/>
        </w:rPr>
        <w:t>Successions testamentaires</w:t>
      </w:r>
    </w:p>
    <w:p w:rsidR="0097441C" w:rsidRDefault="0097441C" w:rsidP="00890BCD">
      <w:pPr>
        <w:jc w:val="both"/>
      </w:pPr>
    </w:p>
    <w:p w:rsidR="0097441C" w:rsidRPr="00FE4C7C" w:rsidRDefault="0097441C" w:rsidP="00FE4C7C">
      <w:pPr>
        <w:pStyle w:val="Paragraphedeliste"/>
        <w:spacing w:after="0" w:line="240" w:lineRule="auto"/>
        <w:ind w:left="0"/>
        <w:jc w:val="both"/>
        <w:rPr>
          <w:rFonts w:ascii="Arial" w:eastAsia="Times New Roman" w:hAnsi="Arial" w:cs="Arial"/>
          <w:lang w:val="fr-FR" w:eastAsia="fr-FR"/>
        </w:rPr>
      </w:pPr>
      <w:r w:rsidRPr="00FE4C7C">
        <w:rPr>
          <w:rFonts w:ascii="Arial" w:eastAsia="Times New Roman" w:hAnsi="Arial" w:cs="Arial"/>
          <w:lang w:val="fr-FR" w:eastAsia="fr-FR"/>
        </w:rPr>
        <w:t>Le juge communique à tous ceux qui ont des droits dans la succession copie des clauses testamentaires qui les concerne</w:t>
      </w:r>
      <w:r w:rsidR="002A13D4">
        <w:rPr>
          <w:rFonts w:ascii="Arial" w:eastAsia="Times New Roman" w:hAnsi="Arial" w:cs="Arial"/>
          <w:lang w:val="fr-FR" w:eastAsia="fr-FR"/>
        </w:rPr>
        <w:t>nt</w:t>
      </w:r>
      <w:r w:rsidRPr="00FE4C7C">
        <w:rPr>
          <w:rFonts w:ascii="Arial" w:eastAsia="Times New Roman" w:hAnsi="Arial" w:cs="Arial"/>
          <w:lang w:val="fr-FR" w:eastAsia="fr-FR"/>
        </w:rPr>
        <w:t xml:space="preserve"> (art. 558 al. 1 CC</w:t>
      </w:r>
      <w:r w:rsidR="00DC67BE">
        <w:rPr>
          <w:rFonts w:ascii="Arial" w:eastAsia="Times New Roman" w:hAnsi="Arial" w:cs="Arial"/>
          <w:lang w:val="fr-FR" w:eastAsia="fr-FR"/>
        </w:rPr>
        <w:t xml:space="preserve"> et 131 al. 1 CDPJ</w:t>
      </w:r>
      <w:r w:rsidRPr="00FE4C7C">
        <w:rPr>
          <w:rFonts w:ascii="Arial" w:eastAsia="Times New Roman" w:hAnsi="Arial" w:cs="Arial"/>
          <w:lang w:val="fr-FR" w:eastAsia="fr-FR"/>
        </w:rPr>
        <w:t>). Ceux qui n’ont pas de domicile connu sont prévenus par sommation dû</w:t>
      </w:r>
      <w:r w:rsidR="00DC67BE">
        <w:rPr>
          <w:rFonts w:ascii="Arial" w:eastAsia="Times New Roman" w:hAnsi="Arial" w:cs="Arial"/>
          <w:lang w:val="fr-FR" w:eastAsia="fr-FR"/>
        </w:rPr>
        <w:t>ment publiée (art. 558 al. 2 CC et 131 al. 3 CDP)</w:t>
      </w:r>
      <w:r w:rsidRPr="00FE4C7C">
        <w:rPr>
          <w:rFonts w:ascii="Arial" w:eastAsia="Times New Roman" w:hAnsi="Arial" w:cs="Arial"/>
          <w:lang w:val="fr-FR" w:eastAsia="fr-FR"/>
        </w:rPr>
        <w:t xml:space="preserve">. </w:t>
      </w:r>
    </w:p>
    <w:p w:rsidR="0097441C" w:rsidRPr="00FE4C7C" w:rsidRDefault="0097441C" w:rsidP="00FE4C7C">
      <w:pPr>
        <w:pStyle w:val="Paragraphedeliste"/>
        <w:spacing w:after="0" w:line="240" w:lineRule="auto"/>
        <w:ind w:left="0"/>
        <w:jc w:val="both"/>
        <w:rPr>
          <w:rFonts w:ascii="Arial" w:eastAsia="Times New Roman" w:hAnsi="Arial" w:cs="Arial"/>
          <w:lang w:val="fr-FR" w:eastAsia="fr-FR"/>
        </w:rPr>
      </w:pPr>
    </w:p>
    <w:p w:rsidR="0097441C" w:rsidRPr="00FE4C7C" w:rsidRDefault="0097441C" w:rsidP="00FE4C7C">
      <w:pPr>
        <w:pStyle w:val="Paragraphedeliste"/>
        <w:spacing w:after="0" w:line="240" w:lineRule="auto"/>
        <w:ind w:left="0"/>
        <w:jc w:val="both"/>
        <w:rPr>
          <w:rFonts w:ascii="Arial" w:eastAsia="Times New Roman" w:hAnsi="Arial" w:cs="Arial"/>
          <w:lang w:val="fr-FR" w:eastAsia="fr-FR"/>
        </w:rPr>
      </w:pPr>
      <w:r w:rsidRPr="00FE4C7C">
        <w:rPr>
          <w:rFonts w:ascii="Arial" w:eastAsia="Times New Roman" w:hAnsi="Arial" w:cs="Arial"/>
          <w:lang w:val="fr-FR" w:eastAsia="fr-FR"/>
        </w:rPr>
        <w:t>Les dispositions pour cause de mort sont communiquées à tous les héritiers réservataires et aux héritiers légaux connus dont le juge dispose de l’adresse. Les autres héritiers légaux sont informés par la publication dans la Feuille des avis officiels vaudoise de l’ouverture du testament.</w:t>
      </w:r>
    </w:p>
    <w:p w:rsidR="0097441C" w:rsidRPr="00FE4C7C" w:rsidRDefault="0097441C" w:rsidP="00FE4C7C">
      <w:pPr>
        <w:pStyle w:val="Paragraphedeliste"/>
        <w:spacing w:after="0" w:line="240" w:lineRule="auto"/>
        <w:ind w:left="0"/>
        <w:jc w:val="both"/>
        <w:rPr>
          <w:rFonts w:ascii="Arial" w:eastAsia="Times New Roman" w:hAnsi="Arial" w:cs="Arial"/>
          <w:lang w:val="fr-FR" w:eastAsia="fr-FR"/>
        </w:rPr>
      </w:pPr>
    </w:p>
    <w:p w:rsidR="00CD3389" w:rsidRDefault="0097441C" w:rsidP="00FE4C7C">
      <w:pPr>
        <w:pStyle w:val="Paragraphedeliste"/>
        <w:spacing w:after="0" w:line="240" w:lineRule="auto"/>
        <w:ind w:left="0"/>
        <w:jc w:val="both"/>
        <w:rPr>
          <w:rFonts w:ascii="Arial" w:hAnsi="Arial" w:cs="Arial"/>
        </w:rPr>
      </w:pPr>
      <w:r w:rsidRPr="00FE4C7C">
        <w:rPr>
          <w:rFonts w:ascii="Arial" w:eastAsia="Times New Roman" w:hAnsi="Arial" w:cs="Arial"/>
          <w:lang w:val="fr-FR" w:eastAsia="fr-FR"/>
        </w:rPr>
        <w:t xml:space="preserve">Dans les cas exceptionnels et à l’appréciation du juge (fortune successorale très importante, dispositions pour cause de mort manifestement nulles, conflit familial connu), </w:t>
      </w:r>
      <w:r w:rsidR="00CD3389" w:rsidRPr="00FE4C7C">
        <w:rPr>
          <w:rFonts w:ascii="Arial" w:eastAsia="Times New Roman" w:hAnsi="Arial" w:cs="Arial"/>
          <w:lang w:val="fr-FR" w:eastAsia="fr-FR"/>
        </w:rPr>
        <w:t>celui-ci</w:t>
      </w:r>
      <w:r w:rsidRPr="00FE4C7C">
        <w:rPr>
          <w:rFonts w:ascii="Arial" w:eastAsia="Times New Roman" w:hAnsi="Arial" w:cs="Arial"/>
          <w:lang w:val="fr-FR" w:eastAsia="fr-FR"/>
        </w:rPr>
        <w:t xml:space="preserve"> fait les recherches nécessaires pour communiquer les dispositions pour cause de </w:t>
      </w:r>
      <w:r w:rsidRPr="00786870">
        <w:rPr>
          <w:rFonts w:ascii="Arial" w:hAnsi="Arial" w:cs="Arial"/>
        </w:rPr>
        <w:t>mort à tous les héritiers légaux.</w:t>
      </w:r>
    </w:p>
    <w:p w:rsidR="00CD3389" w:rsidRDefault="00CD3389"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numPr>
          <w:ilvl w:val="1"/>
          <w:numId w:val="5"/>
        </w:numPr>
        <w:spacing w:after="0" w:line="240" w:lineRule="auto"/>
        <w:jc w:val="both"/>
        <w:rPr>
          <w:rFonts w:ascii="Arial" w:hAnsi="Arial" w:cs="Arial"/>
          <w:u w:val="single"/>
        </w:rPr>
      </w:pPr>
      <w:r w:rsidRPr="00CD3389">
        <w:rPr>
          <w:rFonts w:ascii="Arial" w:hAnsi="Arial" w:cs="Arial"/>
          <w:u w:val="single"/>
        </w:rPr>
        <w:t>Héritier absent</w:t>
      </w:r>
    </w:p>
    <w:p w:rsidR="00CD3389" w:rsidRPr="00CD3389" w:rsidRDefault="00CD3389" w:rsidP="00FE4C7C">
      <w:pPr>
        <w:pStyle w:val="Paragraphedeliste"/>
        <w:spacing w:after="0" w:line="240" w:lineRule="auto"/>
        <w:ind w:left="0"/>
        <w:jc w:val="both"/>
        <w:rPr>
          <w:rFonts w:ascii="Arial" w:hAnsi="Arial" w:cs="Arial"/>
        </w:rPr>
      </w:pPr>
    </w:p>
    <w:p w:rsidR="00CD3389" w:rsidRDefault="002A13D4" w:rsidP="00FE4C7C">
      <w:pPr>
        <w:pStyle w:val="Paragraphedeliste"/>
        <w:spacing w:after="0" w:line="240" w:lineRule="auto"/>
        <w:ind w:left="0"/>
        <w:jc w:val="both"/>
        <w:rPr>
          <w:rFonts w:ascii="Arial" w:hAnsi="Arial" w:cs="Arial"/>
        </w:rPr>
      </w:pPr>
      <w:r>
        <w:rPr>
          <w:rFonts w:ascii="Arial" w:hAnsi="Arial" w:cs="Arial"/>
        </w:rPr>
        <w:t>L</w:t>
      </w:r>
      <w:r w:rsidR="0097441C" w:rsidRPr="00CD3389">
        <w:rPr>
          <w:rFonts w:ascii="Arial" w:hAnsi="Arial" w:cs="Arial"/>
        </w:rPr>
        <w:t xml:space="preserve">orsqu’un héritier est absent, il est renoncé à l’institution d’une curatelle à l’absent, si les dernières nouvelles de celui-ci sont très anciennes et si sa part successorale est inférieure à 15'000 </w:t>
      </w:r>
      <w:proofErr w:type="spellStart"/>
      <w:r w:rsidR="0097441C" w:rsidRPr="00CD3389">
        <w:rPr>
          <w:rFonts w:ascii="Arial" w:hAnsi="Arial" w:cs="Arial"/>
        </w:rPr>
        <w:t>fr.</w:t>
      </w:r>
      <w:proofErr w:type="spellEnd"/>
      <w:r w:rsidR="00E336D6">
        <w:rPr>
          <w:rFonts w:ascii="Arial" w:hAnsi="Arial" w:cs="Arial"/>
        </w:rPr>
        <w:t xml:space="preserve"> (et qu’il n’y a pas d’immeuble).</w:t>
      </w:r>
      <w:r w:rsidR="0097441C" w:rsidRPr="00CD3389">
        <w:rPr>
          <w:rFonts w:ascii="Arial" w:hAnsi="Arial" w:cs="Arial"/>
        </w:rPr>
        <w:t xml:space="preserve"> </w:t>
      </w:r>
      <w:r w:rsidR="00CD3389">
        <w:rPr>
          <w:rFonts w:ascii="Arial" w:hAnsi="Arial" w:cs="Arial"/>
        </w:rPr>
        <w:t>L’absent</w:t>
      </w:r>
      <w:r w:rsidR="0097441C" w:rsidRPr="00CD3389">
        <w:rPr>
          <w:rFonts w:ascii="Arial" w:hAnsi="Arial" w:cs="Arial"/>
        </w:rPr>
        <w:t xml:space="preserve"> est considéré comme prédécédé.</w:t>
      </w:r>
    </w:p>
    <w:p w:rsidR="00CD3389" w:rsidRDefault="00CD3389" w:rsidP="00FE4C7C">
      <w:pPr>
        <w:pStyle w:val="Paragraphedeliste"/>
        <w:spacing w:after="0" w:line="240" w:lineRule="auto"/>
        <w:ind w:left="0"/>
        <w:jc w:val="both"/>
        <w:rPr>
          <w:rFonts w:ascii="Arial" w:hAnsi="Arial" w:cs="Arial"/>
        </w:rPr>
      </w:pPr>
    </w:p>
    <w:p w:rsidR="004C5D34" w:rsidRDefault="004C5D34" w:rsidP="004C5D34">
      <w:pPr>
        <w:pStyle w:val="Paragraphedeliste"/>
        <w:spacing w:after="0" w:line="240" w:lineRule="auto"/>
        <w:ind w:left="0"/>
        <w:jc w:val="both"/>
        <w:rPr>
          <w:rFonts w:ascii="Arial" w:hAnsi="Arial" w:cs="Arial"/>
        </w:rPr>
      </w:pPr>
      <w:r w:rsidRPr="00FD142B">
        <w:rPr>
          <w:rFonts w:ascii="Arial" w:hAnsi="Arial" w:cs="Arial"/>
        </w:rPr>
        <w:t xml:space="preserve">Lorsqu’un héritier est absent, il peut être procédé par la voie d’un appel aux héritiers au sens de l’art. 555 CC, si la part lui revenant s’élève entre 15'001 et 50'000 </w:t>
      </w:r>
      <w:proofErr w:type="spellStart"/>
      <w:r w:rsidRPr="00FD142B">
        <w:rPr>
          <w:rFonts w:ascii="Arial" w:hAnsi="Arial" w:cs="Arial"/>
        </w:rPr>
        <w:t>fr.</w:t>
      </w:r>
      <w:proofErr w:type="spellEnd"/>
      <w:r w:rsidRPr="00FD142B">
        <w:rPr>
          <w:rFonts w:ascii="Arial" w:hAnsi="Arial" w:cs="Arial"/>
        </w:rPr>
        <w:t xml:space="preserve"> A défaut de s’annoncer dans le délai d’une année, il est considéré comme prédécédé.</w:t>
      </w:r>
      <w:r>
        <w:rPr>
          <w:rFonts w:ascii="Arial" w:hAnsi="Arial" w:cs="Arial"/>
        </w:rPr>
        <w:t xml:space="preserve"> </w:t>
      </w:r>
    </w:p>
    <w:p w:rsidR="004C5D34" w:rsidRDefault="004C5D34" w:rsidP="00FE4C7C">
      <w:pPr>
        <w:pStyle w:val="Paragraphedeliste"/>
        <w:spacing w:after="0" w:line="240" w:lineRule="auto"/>
        <w:ind w:left="0"/>
        <w:jc w:val="both"/>
        <w:rPr>
          <w:rFonts w:ascii="Arial" w:hAnsi="Arial" w:cs="Arial"/>
        </w:rPr>
      </w:pPr>
    </w:p>
    <w:p w:rsidR="0097441C" w:rsidRDefault="0097441C" w:rsidP="00DC67BE">
      <w:pPr>
        <w:pStyle w:val="Paragraphedeliste"/>
        <w:numPr>
          <w:ilvl w:val="1"/>
          <w:numId w:val="5"/>
        </w:numPr>
        <w:spacing w:after="0" w:line="240" w:lineRule="auto"/>
        <w:jc w:val="both"/>
        <w:rPr>
          <w:rFonts w:ascii="Arial" w:hAnsi="Arial" w:cs="Arial"/>
          <w:u w:val="single"/>
        </w:rPr>
      </w:pPr>
      <w:r w:rsidRPr="00CD3389">
        <w:rPr>
          <w:rFonts w:ascii="Arial" w:hAnsi="Arial" w:cs="Arial"/>
          <w:u w:val="single"/>
        </w:rPr>
        <w:t>Héritier mineur</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2A13D4" w:rsidP="00FE4C7C">
      <w:pPr>
        <w:pStyle w:val="Paragraphedeliste"/>
        <w:spacing w:after="0" w:line="240" w:lineRule="auto"/>
        <w:ind w:left="0"/>
        <w:jc w:val="both"/>
        <w:rPr>
          <w:rFonts w:ascii="Arial" w:hAnsi="Arial" w:cs="Arial"/>
        </w:rPr>
      </w:pPr>
      <w:r>
        <w:rPr>
          <w:rFonts w:ascii="Arial" w:hAnsi="Arial" w:cs="Arial"/>
        </w:rPr>
        <w:t>L</w:t>
      </w:r>
      <w:r w:rsidR="0097441C" w:rsidRPr="00CD3389">
        <w:rPr>
          <w:rFonts w:ascii="Arial" w:hAnsi="Arial" w:cs="Arial"/>
        </w:rPr>
        <w:t>orsqu’un héritier est mineur, il est renoncé à établir un inventaire conservatoire des biens successoraux</w:t>
      </w:r>
      <w:r>
        <w:rPr>
          <w:rFonts w:ascii="Arial" w:hAnsi="Arial" w:cs="Arial"/>
        </w:rPr>
        <w:t xml:space="preserve"> (art. 117 al. 2 CDPJ)</w:t>
      </w:r>
      <w:r w:rsidR="0097441C" w:rsidRPr="00CD3389">
        <w:rPr>
          <w:rFonts w:ascii="Arial" w:hAnsi="Arial" w:cs="Arial"/>
        </w:rPr>
        <w:t xml:space="preserve">, lorsque le patrimoine successoral est inférieur à 50'000 </w:t>
      </w:r>
      <w:proofErr w:type="spellStart"/>
      <w:r w:rsidR="0097441C" w:rsidRPr="00CD3389">
        <w:rPr>
          <w:rFonts w:ascii="Arial" w:hAnsi="Arial" w:cs="Arial"/>
        </w:rPr>
        <w:t>fr.</w:t>
      </w:r>
      <w:proofErr w:type="spellEnd"/>
      <w:r w:rsidR="0097441C" w:rsidRPr="00CD3389">
        <w:rPr>
          <w:rFonts w:ascii="Arial" w:hAnsi="Arial" w:cs="Arial"/>
        </w:rPr>
        <w:t xml:space="preserve"> </w:t>
      </w:r>
      <w:r w:rsidR="00DE2C46">
        <w:rPr>
          <w:rFonts w:ascii="Arial" w:hAnsi="Arial" w:cs="Arial"/>
        </w:rPr>
        <w:t>(et qu’il n’y a pas d’immeuble</w:t>
      </w:r>
      <w:r w:rsidR="0097441C" w:rsidRPr="00CD3389">
        <w:rPr>
          <w:rFonts w:ascii="Arial" w:hAnsi="Arial" w:cs="Arial"/>
        </w:rPr>
        <w:t>), sauf requête du représentant légal. Celui-ci est invité à se déterminer au nom du mineur, même s’il est lui-même intéressé à la succession. On renonce ainsi également à l’institution d’une curatelle de représentation en faveur du mineur, ainsi qu’à la transmission du dossier à l’autorité de protection de l’enfant en vue de la surveillance des biens du mineur.</w:t>
      </w:r>
    </w:p>
    <w:p w:rsidR="009E27CF" w:rsidRDefault="009E27CF">
      <w:pPr>
        <w:rPr>
          <w:rFonts w:eastAsia="Calibri"/>
          <w:lang w:val="fr-CH" w:eastAsia="en-US"/>
        </w:rPr>
      </w:pPr>
      <w:r>
        <w:br w:type="page"/>
      </w:r>
    </w:p>
    <w:p w:rsidR="0097441C" w:rsidRPr="00CD3389" w:rsidRDefault="0097441C" w:rsidP="00FE4C7C">
      <w:pPr>
        <w:pStyle w:val="Paragraphedeliste"/>
        <w:spacing w:after="0" w:line="240" w:lineRule="auto"/>
        <w:ind w:left="0"/>
        <w:jc w:val="both"/>
        <w:rPr>
          <w:rFonts w:ascii="Arial" w:hAnsi="Arial" w:cs="Arial"/>
        </w:rPr>
      </w:pPr>
    </w:p>
    <w:p w:rsid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Lorsqu’un héritier qui répudie a des descendants mineurs, on prend acte de sa répudiation au nom de ses descendants mineurs également, sans établissement préalable d’un inventaire conservatoire, pour autant que la part successorale revenant au mineur soit inférieure à 15'000 </w:t>
      </w:r>
      <w:proofErr w:type="spellStart"/>
      <w:r w:rsidRPr="00CD3389">
        <w:rPr>
          <w:rFonts w:ascii="Arial" w:hAnsi="Arial" w:cs="Arial"/>
        </w:rPr>
        <w:t>fr.</w:t>
      </w:r>
      <w:proofErr w:type="spellEnd"/>
      <w:r w:rsidRPr="00CD3389">
        <w:rPr>
          <w:rFonts w:ascii="Arial" w:hAnsi="Arial" w:cs="Arial"/>
        </w:rPr>
        <w:t xml:space="preserve"> (et qu’il n’y ait pas d’immeuble) et que le codétenteur éventuel de l’autorité parentale y consente.</w:t>
      </w:r>
    </w:p>
    <w:p w:rsidR="00E336D6" w:rsidRDefault="00E336D6"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numPr>
          <w:ilvl w:val="1"/>
          <w:numId w:val="5"/>
        </w:numPr>
        <w:spacing w:after="0" w:line="240" w:lineRule="auto"/>
        <w:jc w:val="both"/>
        <w:rPr>
          <w:rFonts w:ascii="Arial" w:hAnsi="Arial" w:cs="Arial"/>
        </w:rPr>
      </w:pPr>
      <w:r w:rsidRPr="00CD3389">
        <w:rPr>
          <w:rFonts w:ascii="Arial" w:hAnsi="Arial" w:cs="Arial"/>
          <w:u w:val="single"/>
        </w:rPr>
        <w:t>Conventions concernant l’hérédité</w:t>
      </w:r>
    </w:p>
    <w:p w:rsidR="0097441C" w:rsidRPr="00CD3389" w:rsidRDefault="0097441C" w:rsidP="00FE4C7C">
      <w:pPr>
        <w:pStyle w:val="Paragraphedeliste"/>
        <w:spacing w:after="0" w:line="240" w:lineRule="auto"/>
        <w:ind w:left="0"/>
        <w:jc w:val="both"/>
        <w:rPr>
          <w:rFonts w:ascii="Arial" w:hAnsi="Arial" w:cs="Arial"/>
        </w:rPr>
      </w:pPr>
    </w:p>
    <w:p w:rsidR="00CD3389" w:rsidRDefault="0097441C" w:rsidP="00FE4C7C">
      <w:pPr>
        <w:pStyle w:val="Paragraphedeliste"/>
        <w:spacing w:after="0" w:line="240" w:lineRule="auto"/>
        <w:ind w:left="0"/>
        <w:jc w:val="both"/>
        <w:rPr>
          <w:rFonts w:ascii="Arial" w:hAnsi="Arial" w:cs="Arial"/>
        </w:rPr>
      </w:pPr>
      <w:r w:rsidRPr="00CD3389">
        <w:rPr>
          <w:rFonts w:ascii="Arial" w:hAnsi="Arial" w:cs="Arial"/>
        </w:rPr>
        <w:t>Le juge tient compte des conventions sous seing privé qui modifient la vocation successorale (ex : rétablissement dans sa qualité d’héritier d’une personne exhérédée)</w:t>
      </w:r>
      <w:r w:rsidR="00DC67BE">
        <w:rPr>
          <w:rFonts w:ascii="Arial" w:hAnsi="Arial" w:cs="Arial"/>
        </w:rPr>
        <w:t xml:space="preserve"> pour</w:t>
      </w:r>
      <w:r w:rsidR="00E336D6">
        <w:rPr>
          <w:rFonts w:ascii="Arial" w:hAnsi="Arial" w:cs="Arial"/>
        </w:rPr>
        <w:t xml:space="preserve"> déterminer le cercle des héritiers</w:t>
      </w:r>
      <w:r w:rsidRPr="00CD3389">
        <w:rPr>
          <w:rFonts w:ascii="Arial" w:hAnsi="Arial" w:cs="Arial"/>
        </w:rPr>
        <w:t>. Il contrôle sommairement la validité de</w:t>
      </w:r>
      <w:r w:rsidR="00E336D6">
        <w:rPr>
          <w:rFonts w:ascii="Arial" w:hAnsi="Arial" w:cs="Arial"/>
        </w:rPr>
        <w:t>s conventions</w:t>
      </w:r>
      <w:r w:rsidRPr="00CD3389">
        <w:rPr>
          <w:rFonts w:ascii="Arial" w:hAnsi="Arial" w:cs="Arial"/>
        </w:rPr>
        <w:t xml:space="preserve"> et s’assure en particulier de la présence et de la conformité des signatures de toutes les personnes qui ont participé à l’acte, à moins qu’une autre autorité ou un notaire y ait déjà procédé.</w:t>
      </w:r>
    </w:p>
    <w:p w:rsidR="00CD3389" w:rsidRDefault="00CD3389"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numPr>
          <w:ilvl w:val="0"/>
          <w:numId w:val="5"/>
        </w:numPr>
        <w:spacing w:after="0" w:line="240" w:lineRule="auto"/>
        <w:jc w:val="both"/>
        <w:rPr>
          <w:rFonts w:ascii="Arial" w:hAnsi="Arial" w:cs="Arial"/>
          <w:b/>
        </w:rPr>
      </w:pPr>
      <w:r w:rsidRPr="00CD3389">
        <w:rPr>
          <w:rFonts w:ascii="Arial" w:hAnsi="Arial" w:cs="Arial"/>
          <w:b/>
        </w:rPr>
        <w:t>Personne des héritiers</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Le certificat d’héritier ne peut être établi qu’après délivrance, par l’état civil ou par l’autorité compétente à l’étranger, d’extraits ou d’attestations permettant de déterminer avec certitude la personne des héritiers. </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Lorsque le défunt était de nationalité suisse ou naturalisé avant sa majorité, le Certificat relatif à l’état de famille enregistré (CREFE) est déterminant. </w:t>
      </w:r>
    </w:p>
    <w:p w:rsidR="0097441C" w:rsidRPr="00CD3389" w:rsidRDefault="0097441C" w:rsidP="00FE4C7C">
      <w:pPr>
        <w:pStyle w:val="Paragraphedeliste"/>
        <w:spacing w:after="0" w:line="240" w:lineRule="auto"/>
        <w:ind w:left="0"/>
        <w:jc w:val="both"/>
        <w:rPr>
          <w:rFonts w:ascii="Arial" w:hAnsi="Arial" w:cs="Arial"/>
        </w:rPr>
      </w:pPr>
    </w:p>
    <w:p w:rsid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Lorsque le défunt était de nationalité étrangère ou naturalisé après sa majorité, un acte de notoriété ou une déclaration sous serment doit être exigé à défaut d’acte d’état civil </w:t>
      </w:r>
      <w:r w:rsidRPr="001B0D90">
        <w:rPr>
          <w:rFonts w:ascii="Arial" w:hAnsi="Arial" w:cs="Arial"/>
        </w:rPr>
        <w:t xml:space="preserve">étranger digne de confiance. Il y est renoncé lorsque le patrimoine successoral est </w:t>
      </w:r>
      <w:r w:rsidR="000666A3" w:rsidRPr="001B0D90">
        <w:rPr>
          <w:rFonts w:ascii="Arial" w:hAnsi="Arial" w:cs="Arial"/>
        </w:rPr>
        <w:t xml:space="preserve">inférieur à 100'000 </w:t>
      </w:r>
      <w:proofErr w:type="spellStart"/>
      <w:r w:rsidR="000666A3" w:rsidRPr="001B0D90">
        <w:rPr>
          <w:rFonts w:ascii="Arial" w:hAnsi="Arial" w:cs="Arial"/>
        </w:rPr>
        <w:t>fr.</w:t>
      </w:r>
      <w:proofErr w:type="spellEnd"/>
      <w:r w:rsidRPr="00CD3389">
        <w:rPr>
          <w:rFonts w:ascii="Arial" w:hAnsi="Arial" w:cs="Arial"/>
        </w:rPr>
        <w:t xml:space="preserve"> </w:t>
      </w:r>
      <w:r w:rsidR="00DE2C46">
        <w:rPr>
          <w:rFonts w:ascii="Arial" w:hAnsi="Arial" w:cs="Arial"/>
        </w:rPr>
        <w:t>(et qu’il n’y pas d’immeuble).</w:t>
      </w:r>
    </w:p>
    <w:p w:rsidR="00CD3389" w:rsidRDefault="00CD3389"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numPr>
          <w:ilvl w:val="0"/>
          <w:numId w:val="5"/>
        </w:numPr>
        <w:spacing w:after="0" w:line="240" w:lineRule="auto"/>
        <w:jc w:val="both"/>
        <w:rPr>
          <w:rFonts w:ascii="Arial" w:hAnsi="Arial" w:cs="Arial"/>
          <w:b/>
        </w:rPr>
      </w:pPr>
      <w:r w:rsidRPr="00CD3389">
        <w:rPr>
          <w:rFonts w:ascii="Arial" w:hAnsi="Arial" w:cs="Arial"/>
          <w:b/>
        </w:rPr>
        <w:t>Délivrance du certificat d’héritier</w:t>
      </w:r>
    </w:p>
    <w:p w:rsidR="00BF3ECD" w:rsidRPr="00BF3ECD" w:rsidRDefault="00BF3ECD" w:rsidP="00BF3ECD">
      <w:pPr>
        <w:jc w:val="both"/>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Une fois le cercle des héritiers déterminé et la personne des héritiers vérifiée, le juge </w:t>
      </w:r>
      <w:r w:rsidR="0036392D">
        <w:rPr>
          <w:rFonts w:ascii="Arial" w:hAnsi="Arial" w:cs="Arial"/>
        </w:rPr>
        <w:t xml:space="preserve">de </w:t>
      </w:r>
      <w:r w:rsidRPr="00CD3389">
        <w:rPr>
          <w:rFonts w:ascii="Arial" w:hAnsi="Arial" w:cs="Arial"/>
        </w:rPr>
        <w:t>paix délivre le certificat d</w:t>
      </w:r>
      <w:r w:rsidR="00DC67BE">
        <w:rPr>
          <w:rFonts w:ascii="Arial" w:hAnsi="Arial" w:cs="Arial"/>
        </w:rPr>
        <w:t>’héritier</w:t>
      </w:r>
      <w:r w:rsidRPr="00CD3389">
        <w:rPr>
          <w:rFonts w:ascii="Arial" w:hAnsi="Arial" w:cs="Arial"/>
        </w:rPr>
        <w:t xml:space="preserve">. </w:t>
      </w:r>
    </w:p>
    <w:p w:rsidR="0097441C" w:rsidRPr="00CD3389" w:rsidRDefault="0097441C" w:rsidP="00FE4C7C">
      <w:pPr>
        <w:pStyle w:val="Paragraphedeliste"/>
        <w:spacing w:after="0" w:line="240" w:lineRule="auto"/>
        <w:ind w:left="0"/>
        <w:jc w:val="both"/>
        <w:rPr>
          <w:rFonts w:ascii="Arial" w:hAnsi="Arial" w:cs="Arial"/>
        </w:rPr>
      </w:pPr>
    </w:p>
    <w:p w:rsidR="0097441C" w:rsidRDefault="0097441C" w:rsidP="00FE4C7C">
      <w:pPr>
        <w:pStyle w:val="Paragraphedeliste"/>
        <w:spacing w:after="0" w:line="240" w:lineRule="auto"/>
        <w:ind w:left="0"/>
        <w:jc w:val="both"/>
        <w:rPr>
          <w:rFonts w:ascii="Arial" w:hAnsi="Arial" w:cs="Arial"/>
        </w:rPr>
      </w:pPr>
      <w:r w:rsidRPr="00CD3389">
        <w:rPr>
          <w:rFonts w:ascii="Arial" w:hAnsi="Arial" w:cs="Arial"/>
        </w:rPr>
        <w:t>Chaque intéressé</w:t>
      </w:r>
      <w:r w:rsidR="0094250C">
        <w:rPr>
          <w:rFonts w:ascii="Arial" w:hAnsi="Arial" w:cs="Arial"/>
        </w:rPr>
        <w:t xml:space="preserve">, </w:t>
      </w:r>
      <w:r w:rsidR="0094250C" w:rsidRPr="00F32D6D">
        <w:rPr>
          <w:rFonts w:ascii="Arial" w:hAnsi="Arial" w:cs="Arial"/>
        </w:rPr>
        <w:t>y compris l’exécuteur testamentaire,</w:t>
      </w:r>
      <w:r w:rsidRPr="00CD3389">
        <w:rPr>
          <w:rFonts w:ascii="Arial" w:hAnsi="Arial" w:cs="Arial"/>
        </w:rPr>
        <w:t xml:space="preserve"> en reçoit un exemplaire original signé par le juge de paix et le greffier. </w:t>
      </w:r>
    </w:p>
    <w:p w:rsidR="00A425FE" w:rsidRDefault="00A425FE" w:rsidP="00FE4C7C">
      <w:pPr>
        <w:pStyle w:val="Paragraphedeliste"/>
        <w:spacing w:after="0" w:line="240" w:lineRule="auto"/>
        <w:ind w:left="0"/>
        <w:jc w:val="both"/>
        <w:rPr>
          <w:rFonts w:ascii="Arial" w:hAnsi="Arial" w:cs="Arial"/>
        </w:rPr>
      </w:pPr>
    </w:p>
    <w:p w:rsidR="0097441C" w:rsidRDefault="00A425FE" w:rsidP="00FE4C7C">
      <w:pPr>
        <w:pStyle w:val="Paragraphedeliste"/>
        <w:spacing w:after="0" w:line="240" w:lineRule="auto"/>
        <w:ind w:left="0"/>
        <w:jc w:val="both"/>
        <w:rPr>
          <w:rFonts w:ascii="Arial" w:hAnsi="Arial" w:cs="Arial"/>
          <w:strike/>
        </w:rPr>
      </w:pPr>
      <w:r>
        <w:rPr>
          <w:rFonts w:ascii="Arial" w:hAnsi="Arial" w:cs="Arial"/>
        </w:rPr>
        <w:t xml:space="preserve">Le juge peut ordonner le blocage des avoirs entrant dans la succession et le report de la délivrance du certificat d’héritier, à la requête de l’Administration cantonale des impôts (art. 40 al. 4 LMSD). </w:t>
      </w:r>
    </w:p>
    <w:p w:rsidR="00F32D6D" w:rsidRPr="00CD3389" w:rsidRDefault="00F32D6D"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Le juge doit refuser la délivrance du certificat d’héritier aux héritiers institués, si leurs droits ont été expressément contestés conformément à l’art. 559 CC, à moins qu’il ne se soit écoulé une année depuis la contestation et que l’opposant se soit abstenu d’ouvrir action pour faire reconnaître ses droits dans ce délai. </w:t>
      </w:r>
    </w:p>
    <w:p w:rsidR="0097441C" w:rsidRPr="00CD3389" w:rsidRDefault="0097441C" w:rsidP="00FE4C7C">
      <w:pPr>
        <w:pStyle w:val="Paragraphedeliste"/>
        <w:spacing w:after="0" w:line="240" w:lineRule="auto"/>
        <w:ind w:left="0"/>
        <w:jc w:val="both"/>
        <w:rPr>
          <w:rFonts w:ascii="Arial" w:hAnsi="Arial" w:cs="Arial"/>
        </w:rPr>
      </w:pPr>
    </w:p>
    <w:p w:rsidR="00CD3389" w:rsidRDefault="0097441C" w:rsidP="00FE4C7C">
      <w:pPr>
        <w:pStyle w:val="Paragraphedeliste"/>
        <w:tabs>
          <w:tab w:val="left" w:pos="3828"/>
          <w:tab w:val="left" w:pos="5954"/>
        </w:tabs>
        <w:spacing w:after="0" w:line="240" w:lineRule="auto"/>
        <w:ind w:left="0"/>
        <w:jc w:val="both"/>
        <w:rPr>
          <w:rFonts w:ascii="Arial" w:hAnsi="Arial" w:cs="Arial"/>
        </w:rPr>
      </w:pPr>
      <w:r w:rsidRPr="00CD3389">
        <w:rPr>
          <w:rFonts w:ascii="Arial" w:hAnsi="Arial" w:cs="Arial"/>
        </w:rPr>
        <w:t>Si la succession est grevée d</w:t>
      </w:r>
      <w:r w:rsidR="00DC67BE">
        <w:rPr>
          <w:rFonts w:ascii="Arial" w:hAnsi="Arial" w:cs="Arial"/>
        </w:rPr>
        <w:t>’une</w:t>
      </w:r>
      <w:r w:rsidRPr="00CD3389">
        <w:rPr>
          <w:rFonts w:ascii="Arial" w:hAnsi="Arial" w:cs="Arial"/>
        </w:rPr>
        <w:t xml:space="preserve"> substitution fidéicommissaire, le juge refusera le certificat d'héritier tant que les grevés n'auront pas fourni les sûretés nécessaires, sauf dispense expresse du disposant ou si la substitution est réduite au résidu (art. 490 CC). Si les sûretés consistent en une annotation au registre foncier, le juge mentionnera le consentement des héritiers à cette annotation, qu'il ordonnera d'office. Si la dévolution à un héritier grevé de substitution fidéicommissaire ne porte que sur une partie de propriété commune, l'annotation </w:t>
      </w:r>
      <w:r w:rsidR="00DC67BE">
        <w:rPr>
          <w:rFonts w:ascii="Arial" w:hAnsi="Arial" w:cs="Arial"/>
        </w:rPr>
        <w:t>sera</w:t>
      </w:r>
      <w:r w:rsidRPr="00CD3389">
        <w:rPr>
          <w:rFonts w:ascii="Arial" w:hAnsi="Arial" w:cs="Arial"/>
        </w:rPr>
        <w:t xml:space="preserve"> requise sur le feuillet de l'immeuble entier en précisant que seuls les droits dévolus à cet héritier sont frappés. Une copie des clauses testamentaires relatives à cette substitution sera jointe à la réquisition (art. 79 let. b ORF).</w:t>
      </w:r>
    </w:p>
    <w:p w:rsidR="00CD3389" w:rsidRDefault="00CD3389" w:rsidP="00FE4C7C">
      <w:pPr>
        <w:pStyle w:val="Paragraphedeliste"/>
        <w:tabs>
          <w:tab w:val="left" w:pos="3828"/>
          <w:tab w:val="left" w:pos="5954"/>
        </w:tabs>
        <w:spacing w:after="0" w:line="240" w:lineRule="auto"/>
        <w:ind w:left="0"/>
        <w:jc w:val="both"/>
        <w:rPr>
          <w:rFonts w:ascii="Arial" w:hAnsi="Arial" w:cs="Arial"/>
        </w:rPr>
      </w:pPr>
    </w:p>
    <w:p w:rsidR="00E31FE3" w:rsidRDefault="00E31FE3" w:rsidP="00FE4C7C">
      <w:pPr>
        <w:pStyle w:val="Paragraphedeliste"/>
        <w:tabs>
          <w:tab w:val="left" w:pos="3828"/>
          <w:tab w:val="left" w:pos="5954"/>
        </w:tabs>
        <w:spacing w:after="0" w:line="240" w:lineRule="auto"/>
        <w:ind w:left="0"/>
        <w:jc w:val="both"/>
        <w:rPr>
          <w:rFonts w:ascii="Arial" w:hAnsi="Arial" w:cs="Arial"/>
        </w:rPr>
      </w:pPr>
    </w:p>
    <w:p w:rsidR="0097441C" w:rsidRPr="00CD3389" w:rsidRDefault="0097441C" w:rsidP="00FE4C7C">
      <w:pPr>
        <w:pStyle w:val="Paragraphedeliste"/>
        <w:numPr>
          <w:ilvl w:val="0"/>
          <w:numId w:val="5"/>
        </w:numPr>
        <w:tabs>
          <w:tab w:val="left" w:pos="3828"/>
          <w:tab w:val="left" w:pos="5954"/>
        </w:tabs>
        <w:spacing w:after="0" w:line="240" w:lineRule="auto"/>
        <w:jc w:val="both"/>
        <w:rPr>
          <w:rFonts w:ascii="Arial" w:hAnsi="Arial" w:cs="Arial"/>
          <w:b/>
        </w:rPr>
      </w:pPr>
      <w:r w:rsidRPr="00CD3389">
        <w:rPr>
          <w:rFonts w:ascii="Arial" w:hAnsi="Arial" w:cs="Arial"/>
          <w:b/>
        </w:rPr>
        <w:lastRenderedPageBreak/>
        <w:t>Contenu du certificat d’héritier</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Le certificat d’héritier est établi conformément au modèle ci-annexé.</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Il ne mentionne pas les parts des héritiers (cf. ATF 118 II 108). L’indication des parts sur les formules de désignation de succession est régie par </w:t>
      </w:r>
      <w:proofErr w:type="gramStart"/>
      <w:r w:rsidRPr="00CD3389">
        <w:rPr>
          <w:rFonts w:ascii="Arial" w:hAnsi="Arial" w:cs="Arial"/>
        </w:rPr>
        <w:t>les art</w:t>
      </w:r>
      <w:proofErr w:type="gramEnd"/>
      <w:r w:rsidRPr="00CD3389">
        <w:rPr>
          <w:rFonts w:ascii="Arial" w:hAnsi="Arial" w:cs="Arial"/>
        </w:rPr>
        <w:t xml:space="preserve">. 2 let. </w:t>
      </w:r>
      <w:proofErr w:type="gramStart"/>
      <w:r w:rsidRPr="00CD3389">
        <w:rPr>
          <w:rFonts w:ascii="Arial" w:hAnsi="Arial" w:cs="Arial"/>
        </w:rPr>
        <w:t>d</w:t>
      </w:r>
      <w:proofErr w:type="gramEnd"/>
      <w:r w:rsidRPr="00CD3389">
        <w:rPr>
          <w:rFonts w:ascii="Arial" w:hAnsi="Arial" w:cs="Arial"/>
        </w:rPr>
        <w:t xml:space="preserve">, 14 al. 2 </w:t>
      </w:r>
      <w:r w:rsidR="00B44DCE">
        <w:rPr>
          <w:rFonts w:ascii="Arial" w:hAnsi="Arial" w:cs="Arial"/>
        </w:rPr>
        <w:t>et 16 al. </w:t>
      </w:r>
      <w:r w:rsidRPr="00CD3389">
        <w:rPr>
          <w:rFonts w:ascii="Arial" w:hAnsi="Arial" w:cs="Arial"/>
        </w:rPr>
        <w:t>1</w:t>
      </w:r>
      <w:r w:rsidRPr="00CD3389">
        <w:rPr>
          <w:rFonts w:ascii="Arial" w:hAnsi="Arial" w:cs="Arial"/>
          <w:vertAlign w:val="superscript"/>
        </w:rPr>
        <w:t>er</w:t>
      </w:r>
      <w:r w:rsidRPr="00CD3389">
        <w:rPr>
          <w:rFonts w:ascii="Arial" w:hAnsi="Arial" w:cs="Arial"/>
        </w:rPr>
        <w:t xml:space="preserve"> de l’arrêté d’application du 1</w:t>
      </w:r>
      <w:r w:rsidRPr="00CD3389">
        <w:rPr>
          <w:rFonts w:ascii="Arial" w:hAnsi="Arial" w:cs="Arial"/>
          <w:vertAlign w:val="superscript"/>
        </w:rPr>
        <w:t>er</w:t>
      </w:r>
      <w:r w:rsidRPr="00CD3389">
        <w:rPr>
          <w:rFonts w:ascii="Arial" w:hAnsi="Arial" w:cs="Arial"/>
        </w:rPr>
        <w:t xml:space="preserve"> juin 2005 de la LMSD.</w:t>
      </w:r>
    </w:p>
    <w:p w:rsidR="0097441C" w:rsidRPr="00CD3389" w:rsidRDefault="0097441C" w:rsidP="00FE4C7C">
      <w:pPr>
        <w:pStyle w:val="Paragraphedeliste"/>
        <w:spacing w:after="0" w:line="240" w:lineRule="auto"/>
        <w:ind w:left="0"/>
        <w:jc w:val="both"/>
        <w:rPr>
          <w:rFonts w:ascii="Arial" w:hAnsi="Arial" w:cs="Arial"/>
        </w:rPr>
      </w:pPr>
    </w:p>
    <w:p w:rsidR="00E336D6" w:rsidRDefault="0097441C" w:rsidP="00FE4C7C">
      <w:pPr>
        <w:pStyle w:val="Paragraphedeliste"/>
        <w:spacing w:after="0" w:line="240" w:lineRule="auto"/>
        <w:ind w:left="0"/>
        <w:jc w:val="both"/>
        <w:rPr>
          <w:rFonts w:ascii="Arial" w:hAnsi="Arial" w:cs="Arial"/>
        </w:rPr>
      </w:pPr>
      <w:r w:rsidRPr="00CD3389">
        <w:rPr>
          <w:rFonts w:ascii="Arial" w:hAnsi="Arial" w:cs="Arial"/>
        </w:rPr>
        <w:t>L’exécuteur testamentaire est indiqué dans le certificat d’héritier s’il a les pouvoirs généraux de l’art. 518 CC (art. 133 al. 3 CDPJ).</w:t>
      </w:r>
    </w:p>
    <w:p w:rsidR="00E336D6" w:rsidRDefault="00E336D6" w:rsidP="00FE4C7C">
      <w:pPr>
        <w:pStyle w:val="Paragraphedeliste"/>
        <w:spacing w:after="0" w:line="240" w:lineRule="auto"/>
        <w:ind w:left="0"/>
        <w:jc w:val="both"/>
        <w:rPr>
          <w:rFonts w:ascii="Arial" w:hAnsi="Arial" w:cs="Arial"/>
        </w:rPr>
      </w:pPr>
    </w:p>
    <w:p w:rsidR="0097441C" w:rsidRPr="00CD3389" w:rsidRDefault="00CD3389" w:rsidP="00FE4C7C">
      <w:pPr>
        <w:pStyle w:val="Paragraphedeliste"/>
        <w:numPr>
          <w:ilvl w:val="0"/>
          <w:numId w:val="5"/>
        </w:numPr>
        <w:spacing w:after="0" w:line="240" w:lineRule="auto"/>
        <w:jc w:val="both"/>
        <w:rPr>
          <w:rFonts w:ascii="Arial" w:hAnsi="Arial" w:cs="Arial"/>
          <w:b/>
        </w:rPr>
      </w:pPr>
      <w:r w:rsidRPr="00CD3389">
        <w:rPr>
          <w:rFonts w:ascii="Arial" w:hAnsi="Arial" w:cs="Arial"/>
          <w:b/>
        </w:rPr>
        <w:t>T</w:t>
      </w:r>
      <w:r w:rsidR="0097441C" w:rsidRPr="00CD3389">
        <w:rPr>
          <w:rFonts w:ascii="Arial" w:hAnsi="Arial" w:cs="Arial"/>
          <w:b/>
        </w:rPr>
        <w:t>ransfert des immeubles et inscription de l’usufruit au Registre foncier</w:t>
      </w:r>
    </w:p>
    <w:p w:rsidR="0097441C" w:rsidRPr="00CD3389" w:rsidRDefault="0097441C" w:rsidP="00FE4C7C">
      <w:pPr>
        <w:pStyle w:val="Paragraphedeliste"/>
        <w:spacing w:after="0" w:line="240" w:lineRule="auto"/>
        <w:ind w:left="0"/>
        <w:jc w:val="both"/>
        <w:rPr>
          <w:rFonts w:ascii="Arial" w:hAnsi="Arial" w:cs="Arial"/>
        </w:rPr>
      </w:pPr>
    </w:p>
    <w:p w:rsidR="0097441C" w:rsidRDefault="0097441C" w:rsidP="00FE4C7C">
      <w:pPr>
        <w:pStyle w:val="Paragraphedeliste"/>
        <w:spacing w:after="0" w:line="240" w:lineRule="auto"/>
        <w:ind w:left="0"/>
        <w:jc w:val="both"/>
        <w:rPr>
          <w:rFonts w:ascii="Arial" w:hAnsi="Arial" w:cs="Arial"/>
        </w:rPr>
      </w:pPr>
      <w:r w:rsidRPr="00CD3389">
        <w:rPr>
          <w:rFonts w:ascii="Arial" w:hAnsi="Arial" w:cs="Arial"/>
        </w:rPr>
        <w:t>Lorsqu’un héritier, le conjoint survivant bénéficiaire d’un usufruit testamentaire ou l’exécuteur testamentaire le requiert, le juge de paix établit à côté du certificat d’héritier une réquisition d’inscription au registre foncier du transfert de la propriété des immeubles dépendant de la succession, ainsi que de l’usufruit le cas échéant.</w:t>
      </w:r>
    </w:p>
    <w:p w:rsidR="0094250C" w:rsidRDefault="0094250C" w:rsidP="00FE4C7C">
      <w:pPr>
        <w:pStyle w:val="Paragraphedeliste"/>
        <w:spacing w:after="0" w:line="240" w:lineRule="auto"/>
        <w:ind w:left="0"/>
        <w:jc w:val="both"/>
        <w:rPr>
          <w:rFonts w:ascii="Arial" w:hAnsi="Arial" w:cs="Arial"/>
        </w:rPr>
      </w:pPr>
    </w:p>
    <w:p w:rsidR="0094250C" w:rsidRPr="00CD3389" w:rsidRDefault="0094250C" w:rsidP="00FE4C7C">
      <w:pPr>
        <w:pStyle w:val="Paragraphedeliste"/>
        <w:spacing w:after="0" w:line="240" w:lineRule="auto"/>
        <w:ind w:left="0"/>
        <w:jc w:val="both"/>
        <w:rPr>
          <w:rFonts w:ascii="Arial" w:hAnsi="Arial" w:cs="Arial"/>
        </w:rPr>
      </w:pPr>
      <w:r w:rsidRPr="00F32D6D">
        <w:rPr>
          <w:rFonts w:ascii="Arial" w:hAnsi="Arial" w:cs="Arial"/>
        </w:rPr>
        <w:t>Le certificat d’héritier est notifié aux héritiers et à l’exécuteur testamentaire en même temps que la réquisition de transfert immobilier est adressée au registre foncier.</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La réquisition de transfert immobilier est présentée en deux expéditions, dans les formes et délais légaux, au conservateur du registre foncier du district d</w:t>
      </w:r>
      <w:r w:rsidR="002A13D4">
        <w:rPr>
          <w:rFonts w:ascii="Arial" w:hAnsi="Arial" w:cs="Arial"/>
        </w:rPr>
        <w:t>u lieu de</w:t>
      </w:r>
      <w:r w:rsidRPr="00CD3389">
        <w:rPr>
          <w:rFonts w:ascii="Arial" w:hAnsi="Arial" w:cs="Arial"/>
        </w:rPr>
        <w:t xml:space="preserve"> situation d‘au moins l’un des immeubles conformément aux art. 963 al. 3 CC, 49 al. 2 ORF et 12</w:t>
      </w:r>
      <w:r w:rsidR="005C0E46">
        <w:rPr>
          <w:rFonts w:ascii="Arial" w:hAnsi="Arial" w:cs="Arial"/>
        </w:rPr>
        <w:t> </w:t>
      </w:r>
      <w:proofErr w:type="spellStart"/>
      <w:r w:rsidR="005C0E46">
        <w:rPr>
          <w:rFonts w:ascii="Arial" w:hAnsi="Arial" w:cs="Arial"/>
        </w:rPr>
        <w:t>ss</w:t>
      </w:r>
      <w:proofErr w:type="spellEnd"/>
      <w:r w:rsidR="005C0E46">
        <w:rPr>
          <w:rFonts w:ascii="Arial" w:hAnsi="Arial" w:cs="Arial"/>
        </w:rPr>
        <w:t> </w:t>
      </w:r>
      <w:r w:rsidRPr="00CD3389">
        <w:rPr>
          <w:rFonts w:ascii="Arial" w:hAnsi="Arial" w:cs="Arial"/>
        </w:rPr>
        <w:t>LRF.</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 xml:space="preserve">Les immeubles ne figurent pas sur le certificat d’héritier. </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DB503C">
      <w:pPr>
        <w:pStyle w:val="Paragraphedeliste"/>
        <w:numPr>
          <w:ilvl w:val="0"/>
          <w:numId w:val="5"/>
        </w:numPr>
        <w:spacing w:after="0" w:line="240" w:lineRule="auto"/>
        <w:jc w:val="both"/>
        <w:rPr>
          <w:rFonts w:ascii="Arial" w:hAnsi="Arial" w:cs="Arial"/>
          <w:b/>
        </w:rPr>
      </w:pPr>
      <w:r w:rsidRPr="00CD3389">
        <w:rPr>
          <w:rFonts w:ascii="Arial" w:hAnsi="Arial" w:cs="Arial"/>
          <w:b/>
        </w:rPr>
        <w:t>Clôture de la succession sans déli</w:t>
      </w:r>
      <w:r w:rsidR="00B44DCE">
        <w:rPr>
          <w:rFonts w:ascii="Arial" w:hAnsi="Arial" w:cs="Arial"/>
          <w:b/>
        </w:rPr>
        <w:t>vrance du certificat d’héritier</w:t>
      </w:r>
    </w:p>
    <w:p w:rsidR="0097441C" w:rsidRPr="00CD3389" w:rsidRDefault="0097441C" w:rsidP="00FE4C7C">
      <w:pPr>
        <w:pStyle w:val="Paragraphedeliste"/>
        <w:spacing w:after="0" w:line="240" w:lineRule="auto"/>
        <w:ind w:left="0"/>
        <w:jc w:val="both"/>
        <w:rPr>
          <w:rFonts w:ascii="Arial" w:hAnsi="Arial" w:cs="Arial"/>
        </w:rPr>
      </w:pPr>
    </w:p>
    <w:p w:rsidR="0097441C" w:rsidRPr="00CD3389" w:rsidRDefault="0097441C" w:rsidP="00FE4C7C">
      <w:pPr>
        <w:pStyle w:val="Paragraphedeliste"/>
        <w:spacing w:after="0" w:line="240" w:lineRule="auto"/>
        <w:ind w:left="0"/>
        <w:jc w:val="both"/>
        <w:rPr>
          <w:rFonts w:ascii="Arial" w:hAnsi="Arial" w:cs="Arial"/>
        </w:rPr>
      </w:pPr>
      <w:r w:rsidRPr="00CD3389">
        <w:rPr>
          <w:rFonts w:ascii="Arial" w:hAnsi="Arial" w:cs="Arial"/>
        </w:rPr>
        <w:t>Les dossiers de succession dans lesquels les héritiers n’ont pas répondu à la demande de renseignements qui leur a été adressée sont clos sans suite, après un second rappel envoyé à la personne de contact, avec copie à l’ensemble des héritiers. Il n’est pas procédé à la délivrance du certificat d’héritier.</w:t>
      </w:r>
    </w:p>
    <w:p w:rsidR="0097441C" w:rsidRDefault="0097441C" w:rsidP="00FE4C7C">
      <w:pPr>
        <w:pStyle w:val="Paragraphedeliste"/>
        <w:spacing w:after="0" w:line="240" w:lineRule="auto"/>
        <w:ind w:left="0"/>
        <w:jc w:val="both"/>
        <w:rPr>
          <w:rFonts w:ascii="Arial" w:hAnsi="Arial" w:cs="Arial"/>
        </w:rPr>
      </w:pPr>
    </w:p>
    <w:p w:rsidR="00130F2A" w:rsidRPr="00130F2A" w:rsidRDefault="00130F2A" w:rsidP="00130F2A">
      <w:pPr>
        <w:pStyle w:val="Paragraphedeliste"/>
        <w:numPr>
          <w:ilvl w:val="0"/>
          <w:numId w:val="5"/>
        </w:numPr>
        <w:spacing w:after="0" w:line="240" w:lineRule="auto"/>
        <w:jc w:val="both"/>
        <w:rPr>
          <w:rFonts w:ascii="Arial" w:hAnsi="Arial" w:cs="Arial"/>
          <w:b/>
        </w:rPr>
      </w:pPr>
      <w:r w:rsidRPr="00130F2A">
        <w:rPr>
          <w:rFonts w:ascii="Arial" w:hAnsi="Arial" w:cs="Arial"/>
          <w:b/>
        </w:rPr>
        <w:t>Entrée en vigueur</w:t>
      </w:r>
    </w:p>
    <w:p w:rsidR="0097441C" w:rsidRPr="00CD3389" w:rsidRDefault="0097441C" w:rsidP="00FE4C7C">
      <w:pPr>
        <w:pStyle w:val="Paragraphedeliste"/>
        <w:spacing w:after="0" w:line="240" w:lineRule="auto"/>
        <w:ind w:left="0"/>
        <w:jc w:val="both"/>
        <w:rPr>
          <w:rFonts w:ascii="Arial" w:hAnsi="Arial" w:cs="Arial"/>
        </w:rPr>
      </w:pP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1415EB" w:rsidTr="00862B36">
        <w:tc>
          <w:tcPr>
            <w:tcW w:w="9072" w:type="dxa"/>
          </w:tcPr>
          <w:p w:rsidR="001415EB" w:rsidRDefault="00862B36" w:rsidP="0094250C">
            <w:pPr>
              <w:tabs>
                <w:tab w:val="left" w:pos="3828"/>
                <w:tab w:val="left" w:pos="5954"/>
              </w:tabs>
              <w:ind w:left="-70"/>
              <w:jc w:val="both"/>
            </w:pPr>
            <w:r>
              <w:t>La pré</w:t>
            </w:r>
            <w:r w:rsidR="001415EB">
              <w:t xml:space="preserve">sente circulaire, </w:t>
            </w:r>
            <w:r w:rsidR="001415EB" w:rsidRPr="00F32D6D">
              <w:t xml:space="preserve">qui </w:t>
            </w:r>
            <w:r w:rsidR="00130F2A" w:rsidRPr="00F32D6D">
              <w:t xml:space="preserve">abroge celle du </w:t>
            </w:r>
            <w:r w:rsidR="0094250C" w:rsidRPr="00F32D6D">
              <w:t>8 mai 2017</w:t>
            </w:r>
            <w:r w:rsidR="00130F2A">
              <w:t xml:space="preserve">, </w:t>
            </w:r>
            <w:r w:rsidR="001415EB">
              <w:t xml:space="preserve">entre en vigueur </w:t>
            </w:r>
            <w:r w:rsidR="00976DF3">
              <w:t>immédiatement</w:t>
            </w:r>
            <w:r w:rsidR="00E71F3D">
              <w:t>.</w:t>
            </w:r>
            <w:r w:rsidR="001415EB" w:rsidRPr="00402C46">
              <w:rPr>
                <w:highlight w:val="red"/>
              </w:rPr>
              <w:fldChar w:fldCharType="begin"/>
            </w:r>
            <w:r w:rsidR="00184B3A">
              <w:rPr>
                <w:highlight w:val="red"/>
              </w:rPr>
              <w:instrText>()</w:instrText>
            </w:r>
            <w:r w:rsidR="001415EB" w:rsidRPr="00402C46">
              <w:rPr>
                <w:highlight w:val="red"/>
              </w:rPr>
              <w:fldChar w:fldCharType="end"/>
            </w:r>
          </w:p>
        </w:tc>
      </w:tr>
    </w:tbl>
    <w:p w:rsidR="001415EB" w:rsidRDefault="001415EB" w:rsidP="00FE4C7C">
      <w:pPr>
        <w:tabs>
          <w:tab w:val="left" w:pos="3828"/>
          <w:tab w:val="left" w:pos="5954"/>
        </w:tabs>
        <w:jc w:val="both"/>
      </w:pPr>
    </w:p>
    <w:p w:rsidR="001415EB" w:rsidRDefault="001415EB" w:rsidP="00FE4C7C">
      <w:pPr>
        <w:tabs>
          <w:tab w:val="left" w:pos="3828"/>
          <w:tab w:val="left" w:pos="5954"/>
        </w:tabs>
        <w:jc w:val="both"/>
      </w:pPr>
    </w:p>
    <w:tbl>
      <w:tblPr>
        <w:tblW w:w="0" w:type="auto"/>
        <w:tblInd w:w="70" w:type="dxa"/>
        <w:tblLayout w:type="fixed"/>
        <w:tblCellMar>
          <w:left w:w="70" w:type="dxa"/>
          <w:right w:w="70" w:type="dxa"/>
        </w:tblCellMar>
        <w:tblLook w:val="0000" w:firstRow="0" w:lastRow="0" w:firstColumn="0" w:lastColumn="0" w:noHBand="0" w:noVBand="0"/>
      </w:tblPr>
      <w:tblGrid>
        <w:gridCol w:w="4463"/>
        <w:gridCol w:w="4609"/>
      </w:tblGrid>
      <w:tr w:rsidR="001415EB">
        <w:tc>
          <w:tcPr>
            <w:tcW w:w="4463" w:type="dxa"/>
          </w:tcPr>
          <w:p w:rsidR="001415EB" w:rsidRDefault="007A2E5E" w:rsidP="005E01A4">
            <w:pPr>
              <w:tabs>
                <w:tab w:val="center" w:pos="6521"/>
              </w:tabs>
              <w:jc w:val="center"/>
            </w:pPr>
            <w:r>
              <w:t>Le président</w:t>
            </w:r>
            <w:r w:rsidR="001415EB">
              <w:t xml:space="preserve"> du Tribunal cantonal</w:t>
            </w:r>
          </w:p>
        </w:tc>
        <w:tc>
          <w:tcPr>
            <w:tcW w:w="4609" w:type="dxa"/>
          </w:tcPr>
          <w:p w:rsidR="001415EB" w:rsidRDefault="001415EB" w:rsidP="005E01A4">
            <w:pPr>
              <w:tabs>
                <w:tab w:val="center" w:pos="6521"/>
              </w:tabs>
              <w:jc w:val="center"/>
            </w:pPr>
            <w:r>
              <w:t>L</w:t>
            </w:r>
            <w:r w:rsidR="0094250C">
              <w:t>a</w:t>
            </w:r>
            <w:r>
              <w:t xml:space="preserve"> secrétaire général</w:t>
            </w:r>
            <w:r w:rsidR="0094250C">
              <w:t>e</w:t>
            </w:r>
          </w:p>
          <w:p w:rsidR="001415EB" w:rsidRDefault="001415EB" w:rsidP="005E01A4">
            <w:pPr>
              <w:tabs>
                <w:tab w:val="center" w:pos="6521"/>
              </w:tabs>
              <w:jc w:val="center"/>
            </w:pPr>
            <w:r>
              <w:t>de l'ordre judiciaire</w:t>
            </w:r>
          </w:p>
        </w:tc>
      </w:tr>
      <w:tr w:rsidR="001415EB">
        <w:trPr>
          <w:trHeight w:val="728"/>
        </w:trPr>
        <w:tc>
          <w:tcPr>
            <w:tcW w:w="4463" w:type="dxa"/>
          </w:tcPr>
          <w:p w:rsidR="001415EB" w:rsidRDefault="001415EB" w:rsidP="00FE4C7C">
            <w:pPr>
              <w:tabs>
                <w:tab w:val="center" w:pos="6521"/>
              </w:tabs>
              <w:jc w:val="both"/>
            </w:pPr>
          </w:p>
        </w:tc>
        <w:tc>
          <w:tcPr>
            <w:tcW w:w="4609" w:type="dxa"/>
          </w:tcPr>
          <w:p w:rsidR="001415EB" w:rsidRDefault="001415EB" w:rsidP="00FE4C7C">
            <w:pPr>
              <w:tabs>
                <w:tab w:val="center" w:pos="6521"/>
              </w:tabs>
              <w:jc w:val="both"/>
            </w:pPr>
          </w:p>
        </w:tc>
      </w:tr>
      <w:tr w:rsidR="001415EB" w:rsidRPr="001415EB">
        <w:tc>
          <w:tcPr>
            <w:tcW w:w="4463" w:type="dxa"/>
          </w:tcPr>
          <w:p w:rsidR="001415EB" w:rsidRPr="001415EB" w:rsidRDefault="0094250C" w:rsidP="005E01A4">
            <w:pPr>
              <w:tabs>
                <w:tab w:val="center" w:pos="6521"/>
              </w:tabs>
              <w:jc w:val="center"/>
              <w:rPr>
                <w:lang w:val="de-CH"/>
              </w:rPr>
            </w:pPr>
            <w:r>
              <w:rPr>
                <w:lang w:val="de-CH"/>
              </w:rPr>
              <w:t xml:space="preserve">E. </w:t>
            </w:r>
            <w:proofErr w:type="spellStart"/>
            <w:r>
              <w:rPr>
                <w:lang w:val="de-CH"/>
              </w:rPr>
              <w:t>Kaltenrieder</w:t>
            </w:r>
            <w:proofErr w:type="spellEnd"/>
          </w:p>
        </w:tc>
        <w:tc>
          <w:tcPr>
            <w:tcW w:w="4609" w:type="dxa"/>
          </w:tcPr>
          <w:p w:rsidR="001415EB" w:rsidRPr="001415EB" w:rsidRDefault="0094250C" w:rsidP="005E01A4">
            <w:pPr>
              <w:tabs>
                <w:tab w:val="center" w:pos="6521"/>
              </w:tabs>
              <w:jc w:val="center"/>
              <w:rPr>
                <w:lang w:val="de-CH"/>
              </w:rPr>
            </w:pPr>
            <w:r>
              <w:rPr>
                <w:lang w:val="de-CH"/>
              </w:rPr>
              <w:t xml:space="preserve">V. </w:t>
            </w:r>
            <w:proofErr w:type="spellStart"/>
            <w:r>
              <w:rPr>
                <w:lang w:val="de-CH"/>
              </w:rPr>
              <w:t>Midili</w:t>
            </w:r>
            <w:proofErr w:type="spellEnd"/>
          </w:p>
        </w:tc>
      </w:tr>
    </w:tbl>
    <w:p w:rsidR="001415EB" w:rsidRPr="001415EB" w:rsidRDefault="001415EB" w:rsidP="00FE4C7C">
      <w:pPr>
        <w:tabs>
          <w:tab w:val="center" w:pos="6521"/>
        </w:tabs>
        <w:jc w:val="both"/>
        <w:rPr>
          <w:lang w:val="de-CH"/>
        </w:rPr>
      </w:pPr>
    </w:p>
    <w:p w:rsidR="001415EB" w:rsidRDefault="001415EB" w:rsidP="00FE4C7C">
      <w:pPr>
        <w:tabs>
          <w:tab w:val="center" w:pos="6521"/>
        </w:tabs>
        <w:jc w:val="both"/>
        <w:rPr>
          <w:lang w:val="de-CH"/>
        </w:rPr>
      </w:pPr>
    </w:p>
    <w:p w:rsidR="00EF17AB" w:rsidRDefault="00EF17AB" w:rsidP="00FE4C7C">
      <w:pPr>
        <w:tabs>
          <w:tab w:val="center" w:pos="6521"/>
        </w:tabs>
        <w:jc w:val="both"/>
        <w:rPr>
          <w:lang w:val="de-CH"/>
        </w:rPr>
      </w:pPr>
    </w:p>
    <w:p w:rsidR="00EF17AB" w:rsidRDefault="00EF17AB" w:rsidP="00FE4C7C">
      <w:pPr>
        <w:tabs>
          <w:tab w:val="center" w:pos="6521"/>
        </w:tabs>
        <w:jc w:val="both"/>
        <w:rPr>
          <w:lang w:val="de-CH"/>
        </w:rPr>
      </w:pPr>
    </w:p>
    <w:p w:rsidR="00EF17AB" w:rsidRDefault="00EF17AB" w:rsidP="00FE4C7C">
      <w:pPr>
        <w:tabs>
          <w:tab w:val="center" w:pos="6521"/>
        </w:tabs>
        <w:jc w:val="both"/>
        <w:rPr>
          <w:lang w:val="de-CH"/>
        </w:rPr>
      </w:pPr>
      <w:bookmarkStart w:id="0" w:name="_GoBack"/>
      <w:bookmarkEnd w:id="0"/>
    </w:p>
    <w:p w:rsidR="00EF17AB" w:rsidRDefault="00EF17AB" w:rsidP="00FE4C7C">
      <w:pPr>
        <w:tabs>
          <w:tab w:val="center" w:pos="6521"/>
        </w:tabs>
        <w:jc w:val="both"/>
        <w:rPr>
          <w:lang w:val="de-CH"/>
        </w:rPr>
      </w:pPr>
    </w:p>
    <w:p w:rsidR="00EF17AB" w:rsidRPr="00EF17AB" w:rsidRDefault="00EF17AB" w:rsidP="00FE4C7C">
      <w:pPr>
        <w:tabs>
          <w:tab w:val="center" w:pos="6521"/>
        </w:tabs>
        <w:jc w:val="both"/>
        <w:rPr>
          <w:lang w:val="de-CH"/>
        </w:rPr>
      </w:pPr>
    </w:p>
    <w:tbl>
      <w:tblPr>
        <w:tblW w:w="9072" w:type="dxa"/>
        <w:tblInd w:w="70" w:type="dxa"/>
        <w:tblLayout w:type="fixed"/>
        <w:tblCellMar>
          <w:left w:w="70" w:type="dxa"/>
          <w:right w:w="70" w:type="dxa"/>
        </w:tblCellMar>
        <w:tblLook w:val="0000" w:firstRow="0" w:lastRow="0" w:firstColumn="0" w:lastColumn="0" w:noHBand="0" w:noVBand="0"/>
      </w:tblPr>
      <w:tblGrid>
        <w:gridCol w:w="1843"/>
        <w:gridCol w:w="7229"/>
      </w:tblGrid>
      <w:tr w:rsidR="001415EB" w:rsidRPr="00EF17AB" w:rsidTr="009E27CF">
        <w:tc>
          <w:tcPr>
            <w:tcW w:w="1843" w:type="dxa"/>
          </w:tcPr>
          <w:p w:rsidR="001415EB" w:rsidRPr="00EF17AB" w:rsidRDefault="001415EB" w:rsidP="00FE4C7C">
            <w:pPr>
              <w:tabs>
                <w:tab w:val="center" w:pos="6521"/>
              </w:tabs>
              <w:jc w:val="both"/>
              <w:rPr>
                <w:lang w:val="de-CH"/>
              </w:rPr>
            </w:pPr>
            <w:r w:rsidRPr="00EF17AB">
              <w:rPr>
                <w:u w:val="single"/>
                <w:lang w:val="de-CH"/>
              </w:rPr>
              <w:t>Annexe</w:t>
            </w:r>
            <w:r w:rsidRPr="00EF17AB">
              <w:rPr>
                <w:lang w:val="de-CH"/>
              </w:rPr>
              <w:t>:</w:t>
            </w:r>
          </w:p>
        </w:tc>
        <w:tc>
          <w:tcPr>
            <w:tcW w:w="7229" w:type="dxa"/>
          </w:tcPr>
          <w:p w:rsidR="001415EB" w:rsidRPr="00EF17AB" w:rsidRDefault="00877837" w:rsidP="00FE4C7C">
            <w:pPr>
              <w:tabs>
                <w:tab w:val="center" w:pos="6521"/>
              </w:tabs>
              <w:jc w:val="both"/>
              <w:rPr>
                <w:lang w:val="de-CH"/>
              </w:rPr>
            </w:pPr>
            <w:r w:rsidRPr="00EF17AB">
              <w:t>Modèle</w:t>
            </w:r>
            <w:r w:rsidR="002A13D4">
              <w:t>s</w:t>
            </w:r>
            <w:r w:rsidRPr="00EF17AB">
              <w:t xml:space="preserve"> de certificat d'héritier</w:t>
            </w:r>
            <w:r w:rsidR="002A13D4">
              <w:t xml:space="preserve"> et de réquisition de transfert immobilier</w:t>
            </w:r>
          </w:p>
        </w:tc>
      </w:tr>
    </w:tbl>
    <w:p w:rsidR="001415EB" w:rsidRPr="00EF17AB" w:rsidRDefault="001415EB" w:rsidP="00FE4C7C">
      <w:pPr>
        <w:tabs>
          <w:tab w:val="center" w:pos="6521"/>
        </w:tabs>
        <w:jc w:val="both"/>
        <w:rPr>
          <w:lang w:val="de-CH"/>
        </w:rPr>
      </w:pPr>
    </w:p>
    <w:p w:rsidR="009A1AE7" w:rsidRPr="00EF17AB" w:rsidRDefault="009A1AE7" w:rsidP="00FE4C7C">
      <w:pPr>
        <w:tabs>
          <w:tab w:val="center" w:pos="6521"/>
        </w:tabs>
        <w:jc w:val="both"/>
        <w:rPr>
          <w:lang w:val="de-CH"/>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7229"/>
      </w:tblGrid>
      <w:tr w:rsidR="00877837" w:rsidRPr="00EF17AB">
        <w:tc>
          <w:tcPr>
            <w:tcW w:w="1843" w:type="dxa"/>
          </w:tcPr>
          <w:p w:rsidR="00877837" w:rsidRPr="00EF17AB" w:rsidRDefault="00877837" w:rsidP="00FE4C7C">
            <w:pPr>
              <w:tabs>
                <w:tab w:val="center" w:pos="6521"/>
              </w:tabs>
              <w:jc w:val="both"/>
              <w:rPr>
                <w:lang w:val="de-CH"/>
              </w:rPr>
            </w:pPr>
            <w:proofErr w:type="spellStart"/>
            <w:r w:rsidRPr="00EF17AB">
              <w:rPr>
                <w:u w:val="single"/>
                <w:lang w:val="de-CH"/>
              </w:rPr>
              <w:t>Copie</w:t>
            </w:r>
            <w:proofErr w:type="spellEnd"/>
            <w:r w:rsidRPr="00EF17AB">
              <w:rPr>
                <w:lang w:val="de-CH"/>
              </w:rPr>
              <w:t>:</w:t>
            </w:r>
          </w:p>
        </w:tc>
        <w:tc>
          <w:tcPr>
            <w:tcW w:w="7229" w:type="dxa"/>
          </w:tcPr>
          <w:p w:rsidR="00877837" w:rsidRPr="00EF17AB" w:rsidRDefault="00877837" w:rsidP="00FE4C7C">
            <w:pPr>
              <w:tabs>
                <w:tab w:val="center" w:pos="6521"/>
              </w:tabs>
              <w:jc w:val="both"/>
              <w:rPr>
                <w:lang w:val="de-CH"/>
              </w:rPr>
            </w:pPr>
            <w:proofErr w:type="spellStart"/>
            <w:r w:rsidRPr="00EF17AB">
              <w:rPr>
                <w:lang w:val="de-CH"/>
              </w:rPr>
              <w:t>Registres</w:t>
            </w:r>
            <w:proofErr w:type="spellEnd"/>
            <w:r w:rsidRPr="00EF17AB">
              <w:rPr>
                <w:lang w:val="de-CH"/>
              </w:rPr>
              <w:t xml:space="preserve"> </w:t>
            </w:r>
            <w:proofErr w:type="spellStart"/>
            <w:r w:rsidRPr="00EF17AB">
              <w:rPr>
                <w:lang w:val="de-CH"/>
              </w:rPr>
              <w:t>fonciers</w:t>
            </w:r>
            <w:proofErr w:type="spellEnd"/>
            <w:r w:rsidRPr="00EF17AB">
              <w:rPr>
                <w:lang w:val="de-CH"/>
              </w:rPr>
              <w:t xml:space="preserve"> du </w:t>
            </w:r>
            <w:proofErr w:type="spellStart"/>
            <w:r w:rsidRPr="00EF17AB">
              <w:rPr>
                <w:lang w:val="de-CH"/>
              </w:rPr>
              <w:t>canton</w:t>
            </w:r>
            <w:proofErr w:type="spellEnd"/>
            <w:r w:rsidRPr="00EF17AB">
              <w:rPr>
                <w:lang w:val="de-CH"/>
              </w:rPr>
              <w:t xml:space="preserve"> de Vaud</w:t>
            </w:r>
          </w:p>
        </w:tc>
      </w:tr>
    </w:tbl>
    <w:p w:rsidR="00877837" w:rsidRPr="00EF17AB" w:rsidRDefault="00877837" w:rsidP="00F32D6D">
      <w:pPr>
        <w:tabs>
          <w:tab w:val="center" w:pos="6521"/>
        </w:tabs>
        <w:jc w:val="both"/>
        <w:rPr>
          <w:lang w:val="de-CH"/>
        </w:rPr>
      </w:pPr>
    </w:p>
    <w:sectPr w:rsidR="00877837" w:rsidRPr="00EF17AB">
      <w:headerReference w:type="default" r:id="rId11"/>
      <w:footerReference w:type="default" r:id="rId12"/>
      <w:footerReference w:type="first" r:id="rId13"/>
      <w:pgSz w:w="11906" w:h="16838"/>
      <w:pgMar w:top="284" w:right="1418" w:bottom="851" w:left="1701" w:header="142"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F9" w:rsidRDefault="005068F9">
      <w:r>
        <w:separator/>
      </w:r>
    </w:p>
  </w:endnote>
  <w:endnote w:type="continuationSeparator" w:id="0">
    <w:p w:rsidR="005068F9" w:rsidRDefault="0050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67" w:rsidRDefault="005F2667">
    <w:pPr>
      <w:pStyle w:val="Pieddepage"/>
      <w:tabs>
        <w:tab w:val="clear" w:pos="4536"/>
      </w:tabs>
      <w:ind w:right="-143"/>
      <w:jc w:val="center"/>
      <w:rPr>
        <w:sz w:val="16"/>
        <w:lang w:val="fr-CH"/>
      </w:rPr>
    </w:pPr>
  </w:p>
  <w:p w:rsidR="005F2667" w:rsidRDefault="005F2667">
    <w:pPr>
      <w:pStyle w:val="Pieddepage"/>
      <w:tabs>
        <w:tab w:val="clear" w:pos="4536"/>
      </w:tabs>
      <w:ind w:right="-143"/>
      <w:jc w:val="center"/>
      <w:rPr>
        <w:sz w:val="16"/>
        <w:lang w:val="fr-CH"/>
      </w:rPr>
    </w:pPr>
  </w:p>
  <w:p w:rsidR="005F2667" w:rsidRDefault="005F2667">
    <w:pPr>
      <w:pStyle w:val="Pieddepage"/>
      <w:tabs>
        <w:tab w:val="clear" w:pos="4536"/>
      </w:tabs>
      <w:ind w:right="-143"/>
      <w:jc w:val="center"/>
      <w:rPr>
        <w:sz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Layout w:type="fixed"/>
      <w:tblCellMar>
        <w:left w:w="70" w:type="dxa"/>
        <w:right w:w="70" w:type="dxa"/>
      </w:tblCellMar>
      <w:tblLook w:val="01E0" w:firstRow="1" w:lastRow="1" w:firstColumn="1" w:lastColumn="1" w:noHBand="0" w:noVBand="0"/>
    </w:tblPr>
    <w:tblGrid>
      <w:gridCol w:w="283"/>
      <w:gridCol w:w="6096"/>
      <w:gridCol w:w="2441"/>
    </w:tblGrid>
    <w:tr w:rsidR="005F2667">
      <w:trPr>
        <w:trHeight w:val="992"/>
      </w:trPr>
      <w:tc>
        <w:tcPr>
          <w:tcW w:w="283" w:type="dxa"/>
          <w:vAlign w:val="bottom"/>
        </w:tcPr>
        <w:p w:rsidR="005F2667" w:rsidRDefault="00B44DCE">
          <w:pPr>
            <w:pStyle w:val="Pieddepage"/>
            <w:jc w:val="center"/>
          </w:pPr>
          <w:r>
            <w:rPr>
              <w:noProof/>
              <w:lang w:val="fr-CH" w:eastAsia="fr-CH"/>
            </w:rPr>
            <w:drawing>
              <wp:inline distT="0" distB="0" distL="0" distR="0">
                <wp:extent cx="15875" cy="501015"/>
                <wp:effectExtent l="0" t="0" r="3175" b="0"/>
                <wp:docPr id="1" name="Image 1" descr="barre_co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rre_coul"/>
                        <pic:cNvPicPr preferRelativeResize="0">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875" cy="501015"/>
                        </a:xfrm>
                        <a:prstGeom prst="rect">
                          <a:avLst/>
                        </a:prstGeom>
                        <a:noFill/>
                        <a:ln>
                          <a:noFill/>
                        </a:ln>
                      </pic:spPr>
                    </pic:pic>
                  </a:graphicData>
                </a:graphic>
              </wp:inline>
            </w:drawing>
          </w:r>
        </w:p>
      </w:tc>
      <w:tc>
        <w:tcPr>
          <w:tcW w:w="6096" w:type="dxa"/>
          <w:vAlign w:val="bottom"/>
        </w:tcPr>
        <w:p w:rsidR="005F2667" w:rsidRPr="004C14EB" w:rsidRDefault="00F32D6D">
          <w:pPr>
            <w:pStyle w:val="Pieddepage"/>
            <w:tabs>
              <w:tab w:val="clear" w:pos="4536"/>
            </w:tabs>
            <w:rPr>
              <w:sz w:val="20"/>
              <w:szCs w:val="20"/>
              <w:lang w:val="fr-CH"/>
            </w:rPr>
          </w:pPr>
          <w:r>
            <w:rPr>
              <w:sz w:val="20"/>
              <w:szCs w:val="20"/>
              <w:lang w:val="fr-CH"/>
            </w:rPr>
            <w:t>DRU</w:t>
          </w:r>
        </w:p>
      </w:tc>
      <w:tc>
        <w:tcPr>
          <w:tcW w:w="2441" w:type="dxa"/>
        </w:tcPr>
        <w:p w:rsidR="005F2667" w:rsidRDefault="005F2667">
          <w:pPr>
            <w:pStyle w:val="Pieddepage"/>
            <w:rPr>
              <w:lang w:val="fr-CH"/>
            </w:rPr>
          </w:pPr>
        </w:p>
      </w:tc>
    </w:tr>
  </w:tbl>
  <w:p w:rsidR="005F2667" w:rsidRDefault="005F2667">
    <w:pPr>
      <w:pStyle w:val="Pieddepag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F9" w:rsidRDefault="005068F9">
      <w:r>
        <w:separator/>
      </w:r>
    </w:p>
  </w:footnote>
  <w:footnote w:type="continuationSeparator" w:id="0">
    <w:p w:rsidR="005068F9" w:rsidRDefault="00506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67" w:rsidRDefault="005F2667">
    <w:pPr>
      <w:pStyle w:val="En-tte"/>
      <w:jc w:val="center"/>
      <w:rPr>
        <w:rStyle w:val="Numrodepage"/>
      </w:rPr>
    </w:pPr>
  </w:p>
  <w:p w:rsidR="005F2667" w:rsidRDefault="005F2667">
    <w:pPr>
      <w:pStyle w:val="En-tte"/>
      <w:numPr>
        <w:ilvl w:val="0"/>
        <w:numId w:val="2"/>
      </w:numPr>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775BCB">
      <w:rPr>
        <w:rStyle w:val="Numrodepage"/>
        <w:noProof/>
      </w:rPr>
      <w:t>4</w:t>
    </w:r>
    <w:r>
      <w:rPr>
        <w:rStyle w:val="Numrodepage"/>
      </w:rPr>
      <w:fldChar w:fldCharType="end"/>
    </w:r>
    <w:r>
      <w:rPr>
        <w:rStyle w:val="Numrodepage"/>
      </w:rPr>
      <w:t xml:space="preserve">   -</w:t>
    </w:r>
  </w:p>
  <w:p w:rsidR="005F2667" w:rsidRDefault="005F2667">
    <w:pPr>
      <w:pStyle w:val="En-tte"/>
      <w:jc w:val="center"/>
      <w:rPr>
        <w:rStyle w:val="Numrodepage"/>
      </w:rPr>
    </w:pPr>
  </w:p>
  <w:p w:rsidR="005F2667" w:rsidRDefault="005F266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3A0"/>
    <w:multiLevelType w:val="multilevel"/>
    <w:tmpl w:val="6A4C7AC2"/>
    <w:lvl w:ilvl="0">
      <w:start w:val="4"/>
      <w:numFmt w:val="decimal"/>
      <w:lvlText w:val="%1."/>
      <w:lvlJc w:val="left"/>
      <w:pPr>
        <w:ind w:left="360" w:hanging="360"/>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
    <w:nsid w:val="24602EC2"/>
    <w:multiLevelType w:val="hybridMultilevel"/>
    <w:tmpl w:val="F50690E8"/>
    <w:lvl w:ilvl="0" w:tplc="39E8DFEE">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
    <w:nsid w:val="2477195E"/>
    <w:multiLevelType w:val="singleLevel"/>
    <w:tmpl w:val="AC14F2C2"/>
    <w:lvl w:ilvl="0">
      <w:numFmt w:val="bullet"/>
      <w:lvlText w:val="-"/>
      <w:lvlJc w:val="left"/>
      <w:pPr>
        <w:tabs>
          <w:tab w:val="num" w:pos="502"/>
        </w:tabs>
        <w:ind w:left="502" w:hanging="360"/>
      </w:pPr>
      <w:rPr>
        <w:rFonts w:ascii="Times New Roman" w:hAnsi="Times New Roman" w:hint="default"/>
      </w:rPr>
    </w:lvl>
  </w:abstractNum>
  <w:abstractNum w:abstractNumId="3">
    <w:nsid w:val="2FB56CB2"/>
    <w:multiLevelType w:val="hybridMultilevel"/>
    <w:tmpl w:val="168EC980"/>
    <w:lvl w:ilvl="0" w:tplc="6C7649DE">
      <w:start w:val="1"/>
      <w:numFmt w:val="bullet"/>
      <w:lvlText w:val="-"/>
      <w:lvlJc w:val="left"/>
      <w:pPr>
        <w:ind w:left="1440" w:hanging="360"/>
      </w:pPr>
      <w:rPr>
        <w:rFonts w:ascii="Calibri" w:eastAsiaTheme="minorHAnsi" w:hAnsi="Calibri" w:cstheme="minorBidi"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nsid w:val="39E66AED"/>
    <w:multiLevelType w:val="singleLevel"/>
    <w:tmpl w:val="9F7E2CB4"/>
    <w:lvl w:ilvl="0">
      <w:numFmt w:val="bullet"/>
      <w:lvlText w:val="-"/>
      <w:lvlJc w:val="left"/>
      <w:pPr>
        <w:tabs>
          <w:tab w:val="num" w:pos="927"/>
        </w:tabs>
        <w:ind w:left="927" w:hanging="360"/>
      </w:pPr>
      <w:rPr>
        <w:rFonts w:hint="default"/>
      </w:rPr>
    </w:lvl>
  </w:abstractNum>
  <w:abstractNum w:abstractNumId="5">
    <w:nsid w:val="520D793C"/>
    <w:multiLevelType w:val="multilevel"/>
    <w:tmpl w:val="E6806F8C"/>
    <w:lvl w:ilvl="0">
      <w:start w:val="1"/>
      <w:numFmt w:val="decimal"/>
      <w:lvlText w:val="%1."/>
      <w:lvlJc w:val="left"/>
      <w:pPr>
        <w:tabs>
          <w:tab w:val="num" w:pos="357"/>
        </w:tabs>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A3D3239"/>
    <w:multiLevelType w:val="multilevel"/>
    <w:tmpl w:val="B1B4C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89611E8"/>
    <w:multiLevelType w:val="singleLevel"/>
    <w:tmpl w:val="7004BD5A"/>
    <w:lvl w:ilvl="0">
      <w:numFmt w:val="bullet"/>
      <w:lvlText w:val="-"/>
      <w:lvlJc w:val="left"/>
      <w:pPr>
        <w:tabs>
          <w:tab w:val="num" w:pos="360"/>
        </w:tabs>
        <w:ind w:left="360" w:hanging="360"/>
      </w:pPr>
      <w:rPr>
        <w:rFonts w:hint="default"/>
      </w:rPr>
    </w:lvl>
  </w:abstractNum>
  <w:num w:numId="1">
    <w:abstractNumId w:val="7"/>
  </w:num>
  <w:num w:numId="2">
    <w:abstractNumId w:val="4"/>
  </w:num>
  <w:num w:numId="3">
    <w:abstractNumId w:val="2"/>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EB"/>
    <w:rsid w:val="00031C1A"/>
    <w:rsid w:val="00045634"/>
    <w:rsid w:val="00045E76"/>
    <w:rsid w:val="000666A3"/>
    <w:rsid w:val="000760E4"/>
    <w:rsid w:val="00087247"/>
    <w:rsid w:val="000D4D95"/>
    <w:rsid w:val="00130F2A"/>
    <w:rsid w:val="001415EB"/>
    <w:rsid w:val="00145B6A"/>
    <w:rsid w:val="001578A5"/>
    <w:rsid w:val="00177F39"/>
    <w:rsid w:val="00180D94"/>
    <w:rsid w:val="00184B3A"/>
    <w:rsid w:val="001A1D57"/>
    <w:rsid w:val="001B0D90"/>
    <w:rsid w:val="001C291A"/>
    <w:rsid w:val="001E6FBF"/>
    <w:rsid w:val="00241B19"/>
    <w:rsid w:val="00273362"/>
    <w:rsid w:val="00290D19"/>
    <w:rsid w:val="002A13D4"/>
    <w:rsid w:val="002E454D"/>
    <w:rsid w:val="0030365C"/>
    <w:rsid w:val="0030746C"/>
    <w:rsid w:val="003232E2"/>
    <w:rsid w:val="00345E8A"/>
    <w:rsid w:val="00350CB9"/>
    <w:rsid w:val="0036119B"/>
    <w:rsid w:val="0036392D"/>
    <w:rsid w:val="003801AF"/>
    <w:rsid w:val="003920AA"/>
    <w:rsid w:val="003E2876"/>
    <w:rsid w:val="00402C46"/>
    <w:rsid w:val="00437BB5"/>
    <w:rsid w:val="004619F1"/>
    <w:rsid w:val="004773A9"/>
    <w:rsid w:val="00492090"/>
    <w:rsid w:val="004953CC"/>
    <w:rsid w:val="004B50DB"/>
    <w:rsid w:val="004C14EB"/>
    <w:rsid w:val="004C5D34"/>
    <w:rsid w:val="004C786A"/>
    <w:rsid w:val="004E552B"/>
    <w:rsid w:val="005006D7"/>
    <w:rsid w:val="00502113"/>
    <w:rsid w:val="005068F9"/>
    <w:rsid w:val="00513232"/>
    <w:rsid w:val="005405C5"/>
    <w:rsid w:val="00544980"/>
    <w:rsid w:val="00545438"/>
    <w:rsid w:val="00577A10"/>
    <w:rsid w:val="005A11C8"/>
    <w:rsid w:val="005A739C"/>
    <w:rsid w:val="005C0E46"/>
    <w:rsid w:val="005E01A4"/>
    <w:rsid w:val="005F2667"/>
    <w:rsid w:val="006149D1"/>
    <w:rsid w:val="00626328"/>
    <w:rsid w:val="00631F9E"/>
    <w:rsid w:val="006679A3"/>
    <w:rsid w:val="00695BFE"/>
    <w:rsid w:val="006A7B97"/>
    <w:rsid w:val="006C44C0"/>
    <w:rsid w:val="006F1F1B"/>
    <w:rsid w:val="007152AC"/>
    <w:rsid w:val="00740E6B"/>
    <w:rsid w:val="00741A0F"/>
    <w:rsid w:val="00775BCB"/>
    <w:rsid w:val="00786870"/>
    <w:rsid w:val="007944FF"/>
    <w:rsid w:val="007A2E5E"/>
    <w:rsid w:val="007A4ED3"/>
    <w:rsid w:val="007A75C1"/>
    <w:rsid w:val="007C40F3"/>
    <w:rsid w:val="007E6D94"/>
    <w:rsid w:val="00805B30"/>
    <w:rsid w:val="00807D8A"/>
    <w:rsid w:val="00821D0E"/>
    <w:rsid w:val="00862B36"/>
    <w:rsid w:val="00876BC3"/>
    <w:rsid w:val="00877837"/>
    <w:rsid w:val="00882871"/>
    <w:rsid w:val="00883164"/>
    <w:rsid w:val="00890BCD"/>
    <w:rsid w:val="0089305E"/>
    <w:rsid w:val="00896B7B"/>
    <w:rsid w:val="008A1208"/>
    <w:rsid w:val="008D28E1"/>
    <w:rsid w:val="008D59BF"/>
    <w:rsid w:val="008E7E47"/>
    <w:rsid w:val="00901197"/>
    <w:rsid w:val="00910AFA"/>
    <w:rsid w:val="009403F1"/>
    <w:rsid w:val="0094250C"/>
    <w:rsid w:val="00955BBE"/>
    <w:rsid w:val="0097441C"/>
    <w:rsid w:val="00974C14"/>
    <w:rsid w:val="00976DF3"/>
    <w:rsid w:val="00990597"/>
    <w:rsid w:val="009A1AE7"/>
    <w:rsid w:val="009A2D05"/>
    <w:rsid w:val="009C2EE9"/>
    <w:rsid w:val="009D616C"/>
    <w:rsid w:val="009E01B5"/>
    <w:rsid w:val="009E27CF"/>
    <w:rsid w:val="00A14B2D"/>
    <w:rsid w:val="00A406E7"/>
    <w:rsid w:val="00A425FE"/>
    <w:rsid w:val="00A46879"/>
    <w:rsid w:val="00A5511E"/>
    <w:rsid w:val="00AA1CA9"/>
    <w:rsid w:val="00AE3AC1"/>
    <w:rsid w:val="00AE51E1"/>
    <w:rsid w:val="00AF5BD8"/>
    <w:rsid w:val="00B44DCE"/>
    <w:rsid w:val="00B8241F"/>
    <w:rsid w:val="00B93A9D"/>
    <w:rsid w:val="00BA15E5"/>
    <w:rsid w:val="00BA2570"/>
    <w:rsid w:val="00BF3ECD"/>
    <w:rsid w:val="00BF6CA5"/>
    <w:rsid w:val="00C0685B"/>
    <w:rsid w:val="00C2342E"/>
    <w:rsid w:val="00C24BCE"/>
    <w:rsid w:val="00C3193A"/>
    <w:rsid w:val="00C45EA7"/>
    <w:rsid w:val="00C53DBF"/>
    <w:rsid w:val="00C76009"/>
    <w:rsid w:val="00CA127F"/>
    <w:rsid w:val="00CA1EAE"/>
    <w:rsid w:val="00CD09D3"/>
    <w:rsid w:val="00CD3389"/>
    <w:rsid w:val="00D219B6"/>
    <w:rsid w:val="00D43BE5"/>
    <w:rsid w:val="00D61625"/>
    <w:rsid w:val="00D62EC6"/>
    <w:rsid w:val="00D96DAD"/>
    <w:rsid w:val="00DB503C"/>
    <w:rsid w:val="00DC67BE"/>
    <w:rsid w:val="00DD77EF"/>
    <w:rsid w:val="00DE2C46"/>
    <w:rsid w:val="00DE2CE7"/>
    <w:rsid w:val="00DF6869"/>
    <w:rsid w:val="00E00EC8"/>
    <w:rsid w:val="00E31FE3"/>
    <w:rsid w:val="00E336D6"/>
    <w:rsid w:val="00E6318E"/>
    <w:rsid w:val="00E71F3D"/>
    <w:rsid w:val="00EF17AB"/>
    <w:rsid w:val="00F146F2"/>
    <w:rsid w:val="00F16C89"/>
    <w:rsid w:val="00F304D3"/>
    <w:rsid w:val="00F32D6D"/>
    <w:rsid w:val="00F52F5C"/>
    <w:rsid w:val="00F53F86"/>
    <w:rsid w:val="00F60E72"/>
    <w:rsid w:val="00F753B4"/>
    <w:rsid w:val="00F7792F"/>
    <w:rsid w:val="00F855E2"/>
    <w:rsid w:val="00FA3668"/>
    <w:rsid w:val="00FC0FA6"/>
    <w:rsid w:val="00FD142B"/>
    <w:rsid w:val="00FE4C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val="fr-FR" w:eastAsia="fr-FR"/>
    </w:rPr>
  </w:style>
  <w:style w:type="paragraph" w:styleId="Titre1">
    <w:name w:val="heading 1"/>
    <w:basedOn w:val="Normal"/>
    <w:next w:val="Normal"/>
    <w:qFormat/>
    <w:pPr>
      <w:keepNext/>
      <w:widowControl w:val="0"/>
      <w:spacing w:before="240" w:after="60"/>
      <w:outlineLvl w:val="0"/>
    </w:pPr>
    <w:rPr>
      <w:b/>
      <w:bCs/>
      <w:snapToGrid w:val="0"/>
      <w:kern w:val="28"/>
      <w:sz w:val="28"/>
      <w:szCs w:val="28"/>
    </w:rPr>
  </w:style>
  <w:style w:type="paragraph" w:styleId="Titre2">
    <w:name w:val="heading 2"/>
    <w:basedOn w:val="Normal"/>
    <w:next w:val="Normal"/>
    <w:qFormat/>
    <w:pPr>
      <w:keepNext/>
      <w:ind w:left="567"/>
      <w:jc w:val="center"/>
      <w:outlineLvl w:val="1"/>
    </w:pPr>
    <w:rPr>
      <w:b/>
      <w:bCs/>
      <w:sz w:val="24"/>
      <w:szCs w:val="24"/>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spacing w:before="360"/>
      <w:ind w:left="142"/>
      <w:jc w:val="center"/>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iveau2">
    <w:name w:val="titre niveau 2"/>
    <w:basedOn w:val="Titre1"/>
    <w:pPr>
      <w:ind w:left="397" w:hanging="397"/>
    </w:pPr>
    <w:rPr>
      <w:sz w:val="22"/>
      <w:szCs w:val="22"/>
    </w:rPr>
  </w:style>
  <w:style w:type="paragraph" w:customStyle="1" w:styleId="texteniveau2">
    <w:name w:val="texte niveau 2"/>
    <w:basedOn w:val="Normal"/>
    <w:autoRedefine/>
    <w:pPr>
      <w:ind w:left="397"/>
      <w:jc w:val="both"/>
    </w:pPr>
    <w:rPr>
      <w:u w:val="single"/>
    </w:rPr>
  </w:style>
  <w:style w:type="paragraph" w:customStyle="1" w:styleId="TIT1">
    <w:name w:val="TIT_1"/>
    <w:basedOn w:val="Titre1"/>
    <w:autoRedefine/>
    <w:pPr>
      <w:tabs>
        <w:tab w:val="left" w:pos="709"/>
      </w:tabs>
      <w:spacing w:before="0" w:after="240"/>
    </w:pPr>
    <w:rPr>
      <w:sz w:val="24"/>
      <w:szCs w:val="24"/>
      <w:lang w:val="fr-CH"/>
    </w:rPr>
  </w:style>
  <w:style w:type="paragraph" w:customStyle="1" w:styleId="Style1">
    <w:name w:val="Style1"/>
    <w:basedOn w:val="TIT1"/>
  </w:style>
  <w:style w:type="paragraph" w:customStyle="1" w:styleId="T1">
    <w:name w:val="T1"/>
    <w:basedOn w:val="Normal"/>
    <w:pPr>
      <w:widowControl w:val="0"/>
      <w:tabs>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before="201" w:line="360" w:lineRule="exact"/>
      <w:ind w:left="851" w:right="58" w:hanging="793"/>
      <w:jc w:val="both"/>
    </w:pPr>
    <w:rPr>
      <w:rFonts w:ascii="Times" w:hAnsi="Times" w:cs="Times"/>
      <w:b/>
      <w:bCs/>
      <w:snapToGrid w:val="0"/>
      <w:sz w:val="24"/>
      <w:szCs w:val="24"/>
      <w:lang w:val="fr-CH"/>
    </w:rPr>
  </w:style>
  <w:style w:type="paragraph" w:customStyle="1" w:styleId="T2">
    <w:name w:val="T2"/>
    <w:basedOn w:val="Normal"/>
    <w:pPr>
      <w:tabs>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851" w:right="58" w:hanging="793"/>
      <w:jc w:val="both"/>
    </w:pPr>
    <w:rPr>
      <w:rFonts w:ascii="Times" w:hAnsi="Times" w:cs="Times"/>
      <w:b/>
      <w:bCs/>
      <w:snapToGrid w:val="0"/>
      <w:sz w:val="24"/>
      <w:szCs w:val="24"/>
      <w:lang w:val="fr-CH"/>
    </w:rPr>
  </w:style>
  <w:style w:type="paragraph" w:customStyle="1" w:styleId="T3">
    <w:name w:val="T3"/>
    <w:basedOn w:val="Normal"/>
    <w:pPr>
      <w:tabs>
        <w:tab w:val="left" w:pos="778"/>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58" w:right="58"/>
      <w:jc w:val="both"/>
    </w:pPr>
    <w:rPr>
      <w:rFonts w:ascii="Times" w:hAnsi="Times" w:cs="Times"/>
      <w:b/>
      <w:bCs/>
      <w:snapToGrid w:val="0"/>
      <w:sz w:val="24"/>
      <w:szCs w:val="24"/>
      <w:lang w:val="fr-CH"/>
    </w:rPr>
  </w:style>
  <w:style w:type="paragraph" w:customStyle="1" w:styleId="T4">
    <w:name w:val="T4"/>
    <w:basedOn w:val="Normal"/>
    <w:pPr>
      <w:tabs>
        <w:tab w:val="left" w:pos="778"/>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58" w:right="58"/>
      <w:jc w:val="both"/>
    </w:pPr>
    <w:rPr>
      <w:rFonts w:ascii="Times" w:hAnsi="Times" w:cs="Times"/>
      <w:b/>
      <w:bCs/>
      <w:snapToGrid w:val="0"/>
      <w:sz w:val="24"/>
      <w:szCs w:val="24"/>
      <w:lang w:val="fr-CH"/>
    </w:rPr>
  </w:style>
  <w:style w:type="paragraph" w:styleId="En-tte">
    <w:name w:val="header"/>
    <w:basedOn w:val="Normal"/>
    <w:pPr>
      <w:tabs>
        <w:tab w:val="center" w:pos="4536"/>
        <w:tab w:val="right" w:pos="9072"/>
      </w:tabs>
      <w:ind w:left="567"/>
    </w:pPr>
    <w:rPr>
      <w:sz w:val="24"/>
      <w:szCs w:val="24"/>
    </w:r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Numrodepage">
    <w:name w:val="page number"/>
    <w:basedOn w:val="Policepardfaut"/>
  </w:style>
  <w:style w:type="character" w:styleId="Marquedecommentaire">
    <w:name w:val="annotation reference"/>
    <w:semiHidden/>
    <w:rsid w:val="00F855E2"/>
    <w:rPr>
      <w:sz w:val="16"/>
      <w:szCs w:val="16"/>
    </w:rPr>
  </w:style>
  <w:style w:type="paragraph" w:customStyle="1" w:styleId="En-tte2">
    <w:name w:val="En-tête2"/>
    <w:basedOn w:val="En-tte"/>
    <w:pPr>
      <w:tabs>
        <w:tab w:val="clear" w:pos="4536"/>
        <w:tab w:val="clear" w:pos="9072"/>
      </w:tabs>
      <w:ind w:left="0"/>
    </w:pPr>
    <w:rPr>
      <w:sz w:val="20"/>
      <w:szCs w:val="20"/>
    </w:rPr>
  </w:style>
  <w:style w:type="paragraph" w:styleId="Commentaire">
    <w:name w:val="annotation text"/>
    <w:basedOn w:val="Normal"/>
    <w:semiHidden/>
    <w:rsid w:val="00F855E2"/>
    <w:rPr>
      <w:sz w:val="20"/>
      <w:szCs w:val="20"/>
    </w:rPr>
  </w:style>
  <w:style w:type="paragraph" w:styleId="Objetducommentaire">
    <w:name w:val="annotation subject"/>
    <w:basedOn w:val="Commentaire"/>
    <w:next w:val="Commentaire"/>
    <w:semiHidden/>
    <w:rsid w:val="00F855E2"/>
    <w:rPr>
      <w:b/>
      <w:bCs/>
    </w:rPr>
  </w:style>
  <w:style w:type="paragraph" w:styleId="Textedebulles">
    <w:name w:val="Balloon Text"/>
    <w:basedOn w:val="Normal"/>
    <w:semiHidden/>
    <w:rsid w:val="00F855E2"/>
    <w:rPr>
      <w:rFonts w:ascii="Tahoma" w:hAnsi="Tahoma" w:cs="Tahoma"/>
      <w:sz w:val="16"/>
      <w:szCs w:val="16"/>
    </w:rPr>
  </w:style>
  <w:style w:type="paragraph" w:styleId="Paragraphedeliste">
    <w:name w:val="List Paragraph"/>
    <w:basedOn w:val="Normal"/>
    <w:uiPriority w:val="34"/>
    <w:qFormat/>
    <w:rsid w:val="0097441C"/>
    <w:pPr>
      <w:spacing w:after="200" w:line="276" w:lineRule="auto"/>
      <w:ind w:left="720"/>
      <w:contextualSpacing/>
    </w:pPr>
    <w:rPr>
      <w:rFonts w:ascii="Calibri" w:eastAsia="Calibri" w:hAnsi="Calibri" w:cs="Times New Roman"/>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val="fr-FR" w:eastAsia="fr-FR"/>
    </w:rPr>
  </w:style>
  <w:style w:type="paragraph" w:styleId="Titre1">
    <w:name w:val="heading 1"/>
    <w:basedOn w:val="Normal"/>
    <w:next w:val="Normal"/>
    <w:qFormat/>
    <w:pPr>
      <w:keepNext/>
      <w:widowControl w:val="0"/>
      <w:spacing w:before="240" w:after="60"/>
      <w:outlineLvl w:val="0"/>
    </w:pPr>
    <w:rPr>
      <w:b/>
      <w:bCs/>
      <w:snapToGrid w:val="0"/>
      <w:kern w:val="28"/>
      <w:sz w:val="28"/>
      <w:szCs w:val="28"/>
    </w:rPr>
  </w:style>
  <w:style w:type="paragraph" w:styleId="Titre2">
    <w:name w:val="heading 2"/>
    <w:basedOn w:val="Normal"/>
    <w:next w:val="Normal"/>
    <w:qFormat/>
    <w:pPr>
      <w:keepNext/>
      <w:ind w:left="567"/>
      <w:jc w:val="center"/>
      <w:outlineLvl w:val="1"/>
    </w:pPr>
    <w:rPr>
      <w:b/>
      <w:bCs/>
      <w:sz w:val="24"/>
      <w:szCs w:val="24"/>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spacing w:before="360"/>
      <w:ind w:left="142"/>
      <w:jc w:val="center"/>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iveau2">
    <w:name w:val="titre niveau 2"/>
    <w:basedOn w:val="Titre1"/>
    <w:pPr>
      <w:ind w:left="397" w:hanging="397"/>
    </w:pPr>
    <w:rPr>
      <w:sz w:val="22"/>
      <w:szCs w:val="22"/>
    </w:rPr>
  </w:style>
  <w:style w:type="paragraph" w:customStyle="1" w:styleId="texteniveau2">
    <w:name w:val="texte niveau 2"/>
    <w:basedOn w:val="Normal"/>
    <w:autoRedefine/>
    <w:pPr>
      <w:ind w:left="397"/>
      <w:jc w:val="both"/>
    </w:pPr>
    <w:rPr>
      <w:u w:val="single"/>
    </w:rPr>
  </w:style>
  <w:style w:type="paragraph" w:customStyle="1" w:styleId="TIT1">
    <w:name w:val="TIT_1"/>
    <w:basedOn w:val="Titre1"/>
    <w:autoRedefine/>
    <w:pPr>
      <w:tabs>
        <w:tab w:val="left" w:pos="709"/>
      </w:tabs>
      <w:spacing w:before="0" w:after="240"/>
    </w:pPr>
    <w:rPr>
      <w:sz w:val="24"/>
      <w:szCs w:val="24"/>
      <w:lang w:val="fr-CH"/>
    </w:rPr>
  </w:style>
  <w:style w:type="paragraph" w:customStyle="1" w:styleId="Style1">
    <w:name w:val="Style1"/>
    <w:basedOn w:val="TIT1"/>
  </w:style>
  <w:style w:type="paragraph" w:customStyle="1" w:styleId="T1">
    <w:name w:val="T1"/>
    <w:basedOn w:val="Normal"/>
    <w:pPr>
      <w:widowControl w:val="0"/>
      <w:tabs>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before="201" w:line="360" w:lineRule="exact"/>
      <w:ind w:left="851" w:right="58" w:hanging="793"/>
      <w:jc w:val="both"/>
    </w:pPr>
    <w:rPr>
      <w:rFonts w:ascii="Times" w:hAnsi="Times" w:cs="Times"/>
      <w:b/>
      <w:bCs/>
      <w:snapToGrid w:val="0"/>
      <w:sz w:val="24"/>
      <w:szCs w:val="24"/>
      <w:lang w:val="fr-CH"/>
    </w:rPr>
  </w:style>
  <w:style w:type="paragraph" w:customStyle="1" w:styleId="T2">
    <w:name w:val="T2"/>
    <w:basedOn w:val="Normal"/>
    <w:pPr>
      <w:tabs>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851" w:right="58" w:hanging="793"/>
      <w:jc w:val="both"/>
    </w:pPr>
    <w:rPr>
      <w:rFonts w:ascii="Times" w:hAnsi="Times" w:cs="Times"/>
      <w:b/>
      <w:bCs/>
      <w:snapToGrid w:val="0"/>
      <w:sz w:val="24"/>
      <w:szCs w:val="24"/>
      <w:lang w:val="fr-CH"/>
    </w:rPr>
  </w:style>
  <w:style w:type="paragraph" w:customStyle="1" w:styleId="T3">
    <w:name w:val="T3"/>
    <w:basedOn w:val="Normal"/>
    <w:pPr>
      <w:tabs>
        <w:tab w:val="left" w:pos="778"/>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58" w:right="58"/>
      <w:jc w:val="both"/>
    </w:pPr>
    <w:rPr>
      <w:rFonts w:ascii="Times" w:hAnsi="Times" w:cs="Times"/>
      <w:b/>
      <w:bCs/>
      <w:snapToGrid w:val="0"/>
      <w:sz w:val="24"/>
      <w:szCs w:val="24"/>
      <w:lang w:val="fr-CH"/>
    </w:rPr>
  </w:style>
  <w:style w:type="paragraph" w:customStyle="1" w:styleId="T4">
    <w:name w:val="T4"/>
    <w:basedOn w:val="Normal"/>
    <w:pPr>
      <w:tabs>
        <w:tab w:val="left" w:pos="778"/>
        <w:tab w:val="left" w:pos="1354"/>
        <w:tab w:val="left" w:pos="2074"/>
        <w:tab w:val="left" w:pos="2650"/>
        <w:tab w:val="left" w:pos="3370"/>
        <w:tab w:val="left" w:pos="3946"/>
        <w:tab w:val="left" w:pos="4666"/>
        <w:tab w:val="left" w:pos="5242"/>
        <w:tab w:val="left" w:pos="5962"/>
        <w:tab w:val="left" w:pos="6538"/>
        <w:tab w:val="left" w:pos="7258"/>
        <w:tab w:val="left" w:pos="7834"/>
        <w:tab w:val="left" w:pos="8554"/>
        <w:tab w:val="left" w:pos="9130"/>
      </w:tabs>
      <w:spacing w:line="360" w:lineRule="exact"/>
      <w:ind w:left="58" w:right="58"/>
      <w:jc w:val="both"/>
    </w:pPr>
    <w:rPr>
      <w:rFonts w:ascii="Times" w:hAnsi="Times" w:cs="Times"/>
      <w:b/>
      <w:bCs/>
      <w:snapToGrid w:val="0"/>
      <w:sz w:val="24"/>
      <w:szCs w:val="24"/>
      <w:lang w:val="fr-CH"/>
    </w:rPr>
  </w:style>
  <w:style w:type="paragraph" w:styleId="En-tte">
    <w:name w:val="header"/>
    <w:basedOn w:val="Normal"/>
    <w:pPr>
      <w:tabs>
        <w:tab w:val="center" w:pos="4536"/>
        <w:tab w:val="right" w:pos="9072"/>
      </w:tabs>
      <w:ind w:left="567"/>
    </w:pPr>
    <w:rPr>
      <w:sz w:val="24"/>
      <w:szCs w:val="24"/>
    </w:r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Numrodepage">
    <w:name w:val="page number"/>
    <w:basedOn w:val="Policepardfaut"/>
  </w:style>
  <w:style w:type="character" w:styleId="Marquedecommentaire">
    <w:name w:val="annotation reference"/>
    <w:semiHidden/>
    <w:rsid w:val="00F855E2"/>
    <w:rPr>
      <w:sz w:val="16"/>
      <w:szCs w:val="16"/>
    </w:rPr>
  </w:style>
  <w:style w:type="paragraph" w:customStyle="1" w:styleId="En-tte2">
    <w:name w:val="En-tête2"/>
    <w:basedOn w:val="En-tte"/>
    <w:pPr>
      <w:tabs>
        <w:tab w:val="clear" w:pos="4536"/>
        <w:tab w:val="clear" w:pos="9072"/>
      </w:tabs>
      <w:ind w:left="0"/>
    </w:pPr>
    <w:rPr>
      <w:sz w:val="20"/>
      <w:szCs w:val="20"/>
    </w:rPr>
  </w:style>
  <w:style w:type="paragraph" w:styleId="Commentaire">
    <w:name w:val="annotation text"/>
    <w:basedOn w:val="Normal"/>
    <w:semiHidden/>
    <w:rsid w:val="00F855E2"/>
    <w:rPr>
      <w:sz w:val="20"/>
      <w:szCs w:val="20"/>
    </w:rPr>
  </w:style>
  <w:style w:type="paragraph" w:styleId="Objetducommentaire">
    <w:name w:val="annotation subject"/>
    <w:basedOn w:val="Commentaire"/>
    <w:next w:val="Commentaire"/>
    <w:semiHidden/>
    <w:rsid w:val="00F855E2"/>
    <w:rPr>
      <w:b/>
      <w:bCs/>
    </w:rPr>
  </w:style>
  <w:style w:type="paragraph" w:styleId="Textedebulles">
    <w:name w:val="Balloon Text"/>
    <w:basedOn w:val="Normal"/>
    <w:semiHidden/>
    <w:rsid w:val="00F855E2"/>
    <w:rPr>
      <w:rFonts w:ascii="Tahoma" w:hAnsi="Tahoma" w:cs="Tahoma"/>
      <w:sz w:val="16"/>
      <w:szCs w:val="16"/>
    </w:rPr>
  </w:style>
  <w:style w:type="paragraph" w:styleId="Paragraphedeliste">
    <w:name w:val="List Paragraph"/>
    <w:basedOn w:val="Normal"/>
    <w:uiPriority w:val="34"/>
    <w:qFormat/>
    <w:rsid w:val="0097441C"/>
    <w:pPr>
      <w:spacing w:after="200" w:line="276" w:lineRule="auto"/>
      <w:ind w:left="720"/>
      <w:contextualSpacing/>
    </w:pPr>
    <w:rPr>
      <w:rFonts w:ascii="Calibri" w:eastAsia="Calibri" w:hAnsi="Calibri" w:cs="Times New Roman"/>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215E-F9DA-4225-94F7-B456963B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F36A9B40.dotm</Template>
  <TotalTime>19</TotalTime>
  <Pages>4</Pages>
  <Words>1642</Words>
  <Characters>8663</Characters>
  <Application>Microsoft Office Word</Application>
  <DocSecurity>0</DocSecurity>
  <Lines>236</Lines>
  <Paragraphs>70</Paragraphs>
  <ScaleCrop>false</ScaleCrop>
  <HeadingPairs>
    <vt:vector size="2" baseType="variant">
      <vt:variant>
        <vt:lpstr>Titre</vt:lpstr>
      </vt:variant>
      <vt:variant>
        <vt:i4>1</vt:i4>
      </vt:variant>
    </vt:vector>
  </HeadingPairs>
  <TitlesOfParts>
    <vt:vector size="1" baseType="lpstr">
      <vt:lpstr/>
    </vt:vector>
  </TitlesOfParts>
  <Company>Ordre Judiciaire Vaudois</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zju0105</dc:creator>
  <cp:lastModifiedBy>Rouvé Delphine</cp:lastModifiedBy>
  <cp:revision>6</cp:revision>
  <cp:lastPrinted>2019-03-25T12:30:00Z</cp:lastPrinted>
  <dcterms:created xsi:type="dcterms:W3CDTF">2018-08-14T04:58:00Z</dcterms:created>
  <dcterms:modified xsi:type="dcterms:W3CDTF">2019-03-25T12:40:00Z</dcterms:modified>
</cp:coreProperties>
</file>