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214" w:type="dxa"/>
        <w:tblLayout w:type="fixed"/>
        <w:tblCellMar>
          <w:left w:w="70" w:type="dxa"/>
          <w:right w:w="70" w:type="dxa"/>
        </w:tblCellMar>
        <w:tblLook w:val="0000" w:firstRow="0" w:lastRow="0" w:firstColumn="0" w:lastColumn="0" w:noHBand="0" w:noVBand="0"/>
      </w:tblPr>
      <w:tblGrid>
        <w:gridCol w:w="2590"/>
        <w:gridCol w:w="7475"/>
      </w:tblGrid>
      <w:tr w:rsidR="004950EE" w:rsidRPr="00F2400C" w14:paraId="7FE784B4" w14:textId="77777777" w:rsidTr="00044346">
        <w:trPr>
          <w:trHeight w:val="2239"/>
        </w:trPr>
        <w:tc>
          <w:tcPr>
            <w:tcW w:w="1418" w:type="dxa"/>
          </w:tcPr>
          <w:p w14:paraId="1645F874" w14:textId="77777777" w:rsidR="004950EE" w:rsidRDefault="004950EE" w:rsidP="00044346">
            <w:pPr>
              <w:jc w:val="center"/>
            </w:pPr>
            <w:r>
              <w:rPr>
                <w:noProof/>
                <w:lang w:val="fr-CH" w:eastAsia="fr-CH"/>
              </w:rPr>
              <w:drawing>
                <wp:inline distT="0" distB="0" distL="0" distR="0" wp14:anchorId="5307FE45" wp14:editId="74B27375">
                  <wp:extent cx="771525" cy="1295400"/>
                  <wp:effectExtent l="0" t="0" r="9525" b="0"/>
                  <wp:docPr id="1" name="Image 1" descr="vd_logo_noir_3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_logo_noir_36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1295400"/>
                          </a:xfrm>
                          <a:prstGeom prst="rect">
                            <a:avLst/>
                          </a:prstGeom>
                          <a:noFill/>
                          <a:ln>
                            <a:noFill/>
                          </a:ln>
                        </pic:spPr>
                      </pic:pic>
                    </a:graphicData>
                  </a:graphic>
                </wp:inline>
              </w:drawing>
            </w:r>
          </w:p>
        </w:tc>
        <w:tc>
          <w:tcPr>
            <w:tcW w:w="4093" w:type="dxa"/>
          </w:tcPr>
          <w:p w14:paraId="15592CA5" w14:textId="77777777" w:rsidR="004950EE" w:rsidRPr="0073269D" w:rsidRDefault="004950EE" w:rsidP="00044346">
            <w:pPr>
              <w:rPr>
                <w:b/>
                <w:sz w:val="20"/>
                <w:lang w:val="fr-CH"/>
              </w:rPr>
            </w:pPr>
            <w:bookmarkStart w:id="0" w:name="Service"/>
            <w:r w:rsidRPr="0073269D">
              <w:rPr>
                <w:b/>
                <w:sz w:val="20"/>
                <w:lang w:val="fr-CH"/>
              </w:rPr>
              <w:t xml:space="preserve">Direction générale des affaires institutionnelles et des communes (DGAIC) </w:t>
            </w:r>
          </w:p>
          <w:p w14:paraId="191279C1" w14:textId="77777777" w:rsidR="004950EE" w:rsidRPr="0073269D" w:rsidRDefault="004950EE" w:rsidP="00044346">
            <w:pPr>
              <w:rPr>
                <w:b/>
                <w:sz w:val="20"/>
                <w:lang w:val="fr-CH"/>
              </w:rPr>
            </w:pPr>
          </w:p>
          <w:p w14:paraId="74D5A359" w14:textId="77777777" w:rsidR="004950EE" w:rsidRPr="0073269D" w:rsidRDefault="004950EE" w:rsidP="00044346">
            <w:pPr>
              <w:rPr>
                <w:b/>
                <w:spacing w:val="-8"/>
                <w:sz w:val="20"/>
                <w:lang w:val="fr-CH"/>
              </w:rPr>
            </w:pPr>
            <w:r w:rsidRPr="0073269D">
              <w:rPr>
                <w:b/>
                <w:spacing w:val="-8"/>
                <w:sz w:val="20"/>
                <w:lang w:val="fr-CH"/>
              </w:rPr>
              <w:t>Direction des affaires communales</w:t>
            </w:r>
            <w:r w:rsidRPr="0073269D">
              <w:rPr>
                <w:b/>
                <w:spacing w:val="-8"/>
                <w:sz w:val="20"/>
                <w:lang w:val="fr-CH"/>
              </w:rPr>
              <w:br/>
              <w:t xml:space="preserve">et droits politiques  </w:t>
            </w:r>
            <w:bookmarkEnd w:id="0"/>
          </w:p>
          <w:p w14:paraId="42E87D0D" w14:textId="77777777" w:rsidR="004950EE" w:rsidRPr="0073269D" w:rsidRDefault="004950EE" w:rsidP="00044346">
            <w:pPr>
              <w:rPr>
                <w:spacing w:val="-8"/>
                <w:sz w:val="20"/>
                <w:lang w:val="fr-CH"/>
              </w:rPr>
            </w:pPr>
          </w:p>
          <w:p w14:paraId="6C122EF7" w14:textId="77777777" w:rsidR="004950EE" w:rsidRDefault="004950EE" w:rsidP="00044346">
            <w:pPr>
              <w:rPr>
                <w:spacing w:val="-8"/>
                <w:sz w:val="20"/>
              </w:rPr>
            </w:pPr>
            <w:r>
              <w:rPr>
                <w:spacing w:val="-8"/>
                <w:sz w:val="20"/>
              </w:rPr>
              <w:t xml:space="preserve">Rue </w:t>
            </w:r>
            <w:proofErr w:type="spellStart"/>
            <w:r>
              <w:rPr>
                <w:spacing w:val="-8"/>
                <w:sz w:val="20"/>
              </w:rPr>
              <w:t>Cité</w:t>
            </w:r>
            <w:proofErr w:type="spellEnd"/>
            <w:r>
              <w:rPr>
                <w:spacing w:val="-8"/>
                <w:sz w:val="20"/>
              </w:rPr>
              <w:t>-Derrière 17</w:t>
            </w:r>
          </w:p>
          <w:p w14:paraId="10A0B25E" w14:textId="77777777" w:rsidR="004950EE" w:rsidRPr="00F2400C" w:rsidRDefault="004950EE" w:rsidP="00044346">
            <w:pPr>
              <w:rPr>
                <w:sz w:val="20"/>
              </w:rPr>
            </w:pPr>
            <w:r>
              <w:rPr>
                <w:spacing w:val="-8"/>
                <w:sz w:val="20"/>
              </w:rPr>
              <w:t>1014 Lausanne</w:t>
            </w:r>
          </w:p>
        </w:tc>
      </w:tr>
    </w:tbl>
    <w:p w14:paraId="6FDAF54F" w14:textId="77777777" w:rsidR="000314BD" w:rsidRDefault="000314BD">
      <w:pPr>
        <w:pStyle w:val="Corpsdetexte"/>
        <w:rPr>
          <w:sz w:val="20"/>
        </w:rPr>
      </w:pPr>
    </w:p>
    <w:p w14:paraId="3E01C4B8" w14:textId="77777777" w:rsidR="000314BD" w:rsidRDefault="000314BD">
      <w:pPr>
        <w:pStyle w:val="Corpsdetexte"/>
        <w:rPr>
          <w:sz w:val="20"/>
        </w:rPr>
      </w:pPr>
    </w:p>
    <w:p w14:paraId="64E4ABC5" w14:textId="77777777" w:rsidR="000314BD" w:rsidRDefault="000314BD">
      <w:pPr>
        <w:pStyle w:val="Corpsdetexte"/>
        <w:spacing w:before="3"/>
        <w:rPr>
          <w:sz w:val="23"/>
        </w:rPr>
      </w:pPr>
    </w:p>
    <w:p w14:paraId="339E981B" w14:textId="77777777" w:rsidR="000314BD" w:rsidRPr="0073269D" w:rsidRDefault="00F349F4">
      <w:pPr>
        <w:pStyle w:val="Titre1"/>
        <w:spacing w:line="244" w:lineRule="auto"/>
        <w:ind w:left="1267" w:right="130" w:firstLine="0"/>
        <w:rPr>
          <w:lang w:val="fr-CH"/>
        </w:rPr>
      </w:pPr>
      <w:r>
        <w:rPr>
          <w:noProof/>
          <w:lang w:val="fr-CH" w:eastAsia="fr-CH"/>
        </w:rPr>
        <mc:AlternateContent>
          <mc:Choice Requires="wps">
            <w:drawing>
              <wp:anchor distT="0" distB="0" distL="0" distR="0" simplePos="0" relativeHeight="487587840" behindDoc="1" locked="0" layoutInCell="1" allowOverlap="1" wp14:anchorId="7D0439E6" wp14:editId="262E2A10">
                <wp:simplePos x="0" y="0"/>
                <wp:positionH relativeFrom="page">
                  <wp:posOffset>1332230</wp:posOffset>
                </wp:positionH>
                <wp:positionV relativeFrom="paragraph">
                  <wp:posOffset>349885</wp:posOffset>
                </wp:positionV>
                <wp:extent cx="5527675" cy="6350"/>
                <wp:effectExtent l="0" t="0" r="0" b="0"/>
                <wp:wrapTopAndBottom/>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6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C553D" id="Rectangle 4" o:spid="_x0000_s1026" style="position:absolute;margin-left:104.9pt;margin-top:27.55pt;width:435.2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clp+gEAANkDAAAOAAAAZHJzL2Uyb0RvYy54bWysU9uO0zAQfUfiHyy/07SlF4iarlZdLUJa&#10;YMXCB0wdp7FwPGbsNi1fz9jplgJviDxYHs/45Jwz49XNsbPioCkYdJWcjMZSaKewNm5Xya9f7l+9&#10;kSJEcDVYdLqSJx3kzfrli1XvSz3FFm2tSTCIC2XvK9nG6MuiCKrVHYQReu042SB1EDmkXVET9Ize&#10;2WI6Hi+KHqn2hEqHwKd3Q1KuM37TaBU/NU3QUdhKMreYV8rrNq3FegXljsC3Rp1pwD+w6MA4/ukF&#10;6g4iiD2Zv6A6owgDNnGksCuwaYzSWQOrmYz/UPPUgtdZC5sT/MWm8P9g1cfDIwlTV5Ib5aDjFn1m&#10;08DtrBazZE/vQ8lVT/6RksDgH1B9C8LhpuUqfUuEfauhZlKTVF/8diEFga+Kbf8Ba0aHfcTs1LGh&#10;LgGyB+KYG3K6NEQfo1B8OJ9Pl4vlXArFucXree5XAeXzXU8hvtPYibSpJDHzjA2HhxATFyifSzJ3&#10;tKa+N9bmgHbbjSVxgDQa+cv0WeJ1mXWp2GG6NiCmkywy6Rr82WJ9Yo2Ew3zxe+BNi/RDip5nq5Lh&#10;+x5IS2HfO/bp7WQ2S8OYg9l8OeWArjPb6ww4xVCVjFIM200cBnjvyexa/tMki3Z4y942JgtPvg+s&#10;zmR5frIf51lPA3od56pfL3L9EwAA//8DAFBLAwQUAAYACAAAACEA1b2XwOAAAAAKAQAADwAAAGRy&#10;cy9kb3ducmV2LnhtbEyPwU7DMBBE70j8g7VI3KidQKo0jVNRJI5ItHCgNyfeJlHjdbDdNvD1uKdy&#10;3NnRzJtyNZmBndD53pKEZCaAITVW99RK+Px4fciB+aBIq8ESSvhBD6vq9qZUhbZn2uBpG1oWQ8gX&#10;SkIXwlhw7psOjfIzOyLF3946o0I8Xcu1U+cYbgaeCjHnRvUUGzo14kuHzWF7NBLWi3z9/f5Eb7+b&#10;eoe7r/qQpU5IeX83PS+BBZzC1QwX/IgOVWSq7ZG0Z4OEVCwiepCQZQmwi0Hk4hFYHZV5Arwq+f8J&#10;1R8AAAD//wMAUEsBAi0AFAAGAAgAAAAhALaDOJL+AAAA4QEAABMAAAAAAAAAAAAAAAAAAAAAAFtD&#10;b250ZW50X1R5cGVzXS54bWxQSwECLQAUAAYACAAAACEAOP0h/9YAAACUAQAACwAAAAAAAAAAAAAA&#10;AAAvAQAAX3JlbHMvLnJlbHNQSwECLQAUAAYACAAAACEAzd3JafoBAADZAwAADgAAAAAAAAAAAAAA&#10;AAAuAgAAZHJzL2Uyb0RvYy54bWxQSwECLQAUAAYACAAAACEA1b2XwOAAAAAKAQAADwAAAAAAAAAA&#10;AAAAAABUBAAAZHJzL2Rvd25yZXYueG1sUEsFBgAAAAAEAAQA8wAAAGEFAAAAAA==&#10;" fillcolor="black" stroked="f">
                <w10:wrap type="topAndBottom" anchorx="page"/>
              </v:rect>
            </w:pict>
          </mc:Fallback>
        </mc:AlternateContent>
      </w:r>
      <w:r w:rsidR="006120F0" w:rsidRPr="0073269D">
        <w:rPr>
          <w:lang w:val="fr-CH"/>
        </w:rPr>
        <w:t>Taxe relative au financement des équipements communautaires – 2 règlements type – Note explicative destinée aux communes</w:t>
      </w:r>
    </w:p>
    <w:p w14:paraId="663E2118" w14:textId="77777777" w:rsidR="000314BD" w:rsidRPr="0073269D" w:rsidRDefault="000314BD">
      <w:pPr>
        <w:pStyle w:val="Corpsdetexte"/>
        <w:rPr>
          <w:b/>
          <w:sz w:val="20"/>
          <w:lang w:val="fr-CH"/>
        </w:rPr>
      </w:pPr>
    </w:p>
    <w:p w14:paraId="78887506" w14:textId="77777777" w:rsidR="000314BD" w:rsidRPr="0073269D" w:rsidRDefault="000314BD">
      <w:pPr>
        <w:pStyle w:val="Corpsdetexte"/>
        <w:spacing w:before="8"/>
        <w:rPr>
          <w:b/>
          <w:sz w:val="21"/>
          <w:lang w:val="fr-CH"/>
        </w:rPr>
      </w:pPr>
    </w:p>
    <w:p w14:paraId="25FE692F" w14:textId="77777777" w:rsidR="000314BD" w:rsidRDefault="006120F0">
      <w:pPr>
        <w:pStyle w:val="Paragraphedeliste"/>
        <w:numPr>
          <w:ilvl w:val="0"/>
          <w:numId w:val="4"/>
        </w:numPr>
        <w:tabs>
          <w:tab w:val="left" w:pos="1692"/>
          <w:tab w:val="left" w:pos="1693"/>
        </w:tabs>
        <w:ind w:hanging="427"/>
        <w:rPr>
          <w:b/>
        </w:rPr>
      </w:pPr>
      <w:r>
        <w:rPr>
          <w:b/>
        </w:rPr>
        <w:t>Introduction</w:t>
      </w:r>
    </w:p>
    <w:p w14:paraId="2C15E93F" w14:textId="77777777" w:rsidR="000314BD" w:rsidRDefault="000314BD">
      <w:pPr>
        <w:pStyle w:val="Corpsdetexte"/>
        <w:spacing w:before="8"/>
        <w:rPr>
          <w:b/>
          <w:sz w:val="21"/>
        </w:rPr>
      </w:pPr>
    </w:p>
    <w:p w14:paraId="5FA1E010" w14:textId="77777777" w:rsidR="000314BD" w:rsidRPr="0073269D" w:rsidRDefault="006120F0">
      <w:pPr>
        <w:pStyle w:val="Corpsdetexte"/>
        <w:ind w:left="1266" w:right="129"/>
        <w:jc w:val="both"/>
        <w:rPr>
          <w:lang w:val="fr-CH"/>
        </w:rPr>
      </w:pPr>
      <w:r w:rsidRPr="0073269D">
        <w:rPr>
          <w:lang w:val="fr-CH"/>
        </w:rPr>
        <w:t>Depuis l’entrée en vigueur, le 4 avril 2011, des articles 4b et suivants de la loi du            5 décembre 1956 sur les impôts communaux (LICom) autorisant la perception d’une taxe communale pour les dépenses d’équipements communautaires liées à des mesures d’aménagement du territoire communal ou intercommunal (taxe pour l’équipement communautaire), la mise en œuvre de ces dispositions par les communes a soulevé certaines</w:t>
      </w:r>
      <w:r w:rsidRPr="0073269D">
        <w:rPr>
          <w:spacing w:val="-1"/>
          <w:lang w:val="fr-CH"/>
        </w:rPr>
        <w:t xml:space="preserve"> </w:t>
      </w:r>
      <w:r w:rsidRPr="0073269D">
        <w:rPr>
          <w:lang w:val="fr-CH"/>
        </w:rPr>
        <w:t>interrogations.</w:t>
      </w:r>
    </w:p>
    <w:p w14:paraId="601DBF45" w14:textId="77777777" w:rsidR="000314BD" w:rsidRPr="0073269D" w:rsidRDefault="000314BD">
      <w:pPr>
        <w:pStyle w:val="Corpsdetexte"/>
        <w:spacing w:before="5"/>
        <w:rPr>
          <w:sz w:val="21"/>
          <w:lang w:val="fr-CH"/>
        </w:rPr>
      </w:pPr>
    </w:p>
    <w:p w14:paraId="703FA4C3" w14:textId="77777777" w:rsidR="000314BD" w:rsidRPr="0073269D" w:rsidRDefault="006120F0">
      <w:pPr>
        <w:pStyle w:val="Corpsdetexte"/>
        <w:ind w:left="1266" w:right="128"/>
        <w:jc w:val="both"/>
        <w:rPr>
          <w:lang w:val="fr-CH"/>
        </w:rPr>
      </w:pPr>
      <w:r w:rsidRPr="0073269D">
        <w:rPr>
          <w:lang w:val="fr-CH"/>
        </w:rPr>
        <w:t>Compte tenu de ces premières expériences, et constatant aussi que le règlement type initialement mis à disposition sur le site internet de l’Etat de Vaud (voir annexe 1) ne permettait pas, seul, de répondre aux attentes multiples des communes, le Département de l’intérieur (le Département) a décidé de publier une deuxième variante de règlement type (voir annexe 2) et de l’accompagner de la présente note. L’objet de cette dernière est d’expliquer le système de taxation proposé ainsi que de fournir certaines précisions générales relatives à la perception de la taxe pour l’équipement communautaire, lorsqu’elles apparaissent utiles.</w:t>
      </w:r>
    </w:p>
    <w:p w14:paraId="54A0BFDB" w14:textId="77777777" w:rsidR="000314BD" w:rsidRPr="0073269D" w:rsidRDefault="000314BD">
      <w:pPr>
        <w:pStyle w:val="Corpsdetexte"/>
        <w:rPr>
          <w:sz w:val="24"/>
          <w:lang w:val="fr-CH"/>
        </w:rPr>
      </w:pPr>
    </w:p>
    <w:p w14:paraId="35ED0781" w14:textId="77777777" w:rsidR="000314BD" w:rsidRPr="0073269D" w:rsidRDefault="000314BD">
      <w:pPr>
        <w:pStyle w:val="Corpsdetexte"/>
        <w:spacing w:before="9"/>
        <w:rPr>
          <w:sz w:val="19"/>
          <w:lang w:val="fr-CH"/>
        </w:rPr>
      </w:pPr>
    </w:p>
    <w:p w14:paraId="6145BC9F" w14:textId="77777777" w:rsidR="000314BD" w:rsidRDefault="006120F0">
      <w:pPr>
        <w:pStyle w:val="Titre1"/>
        <w:numPr>
          <w:ilvl w:val="0"/>
          <w:numId w:val="4"/>
        </w:numPr>
        <w:tabs>
          <w:tab w:val="left" w:pos="1692"/>
          <w:tab w:val="left" w:pos="1693"/>
        </w:tabs>
        <w:ind w:hanging="427"/>
      </w:pPr>
      <w:r>
        <w:t>Avis aux</w:t>
      </w:r>
      <w:r>
        <w:rPr>
          <w:spacing w:val="-1"/>
        </w:rPr>
        <w:t xml:space="preserve"> </w:t>
      </w:r>
      <w:r>
        <w:t>communes</w:t>
      </w:r>
    </w:p>
    <w:p w14:paraId="4B621B05" w14:textId="77777777" w:rsidR="000314BD" w:rsidRDefault="000314BD">
      <w:pPr>
        <w:pStyle w:val="Corpsdetexte"/>
        <w:spacing w:before="8"/>
        <w:rPr>
          <w:b/>
          <w:sz w:val="21"/>
        </w:rPr>
      </w:pPr>
    </w:p>
    <w:p w14:paraId="0DB360F1" w14:textId="77777777" w:rsidR="000314BD" w:rsidRPr="0073269D" w:rsidRDefault="006120F0">
      <w:pPr>
        <w:pStyle w:val="Corpsdetexte"/>
        <w:ind w:left="1266" w:right="131"/>
        <w:jc w:val="both"/>
        <w:rPr>
          <w:lang w:val="fr-CH"/>
        </w:rPr>
      </w:pPr>
      <w:r w:rsidRPr="0073269D">
        <w:rPr>
          <w:lang w:val="fr-CH"/>
        </w:rPr>
        <w:t>Les communes intéressées à percevoir la taxe pour l’équipement communautaire sont invitées à porter une attention particulière aux aspects suivants :</w:t>
      </w:r>
    </w:p>
    <w:p w14:paraId="359AB406" w14:textId="77777777" w:rsidR="000314BD" w:rsidRPr="0073269D" w:rsidRDefault="000314BD">
      <w:pPr>
        <w:pStyle w:val="Corpsdetexte"/>
        <w:spacing w:before="8"/>
        <w:rPr>
          <w:sz w:val="21"/>
          <w:lang w:val="fr-CH"/>
        </w:rPr>
      </w:pPr>
    </w:p>
    <w:p w14:paraId="0AF9260C" w14:textId="77777777" w:rsidR="000314BD" w:rsidRPr="0073269D" w:rsidRDefault="006120F0">
      <w:pPr>
        <w:pStyle w:val="Paragraphedeliste"/>
        <w:numPr>
          <w:ilvl w:val="0"/>
          <w:numId w:val="3"/>
        </w:numPr>
        <w:tabs>
          <w:tab w:val="left" w:pos="1628"/>
        </w:tabs>
        <w:spacing w:before="1"/>
        <w:ind w:right="129" w:hanging="360"/>
        <w:jc w:val="both"/>
        <w:rPr>
          <w:lang w:val="fr-CH"/>
        </w:rPr>
      </w:pPr>
      <w:r w:rsidRPr="0073269D">
        <w:rPr>
          <w:lang w:val="fr-CH"/>
        </w:rPr>
        <w:t>L’élaboration d’un règlement communal prévoyant la perception de la taxe pour l’équipement communautaire doit s’accompagner d’une réflexion juridique, visant notamment à s’assurer que le système de taxation instauré respecte les exigences particulières auxquelles sont soumises les lois en matière fiscale. Il est de la responsabilité des communes de procéder aux vérifications nécessaires, cas échéant avec l’aide de spécialistes (avocats, juristes), l’approbation par le Département d’un règlement communal sur la base de l’article 4b, alinéa 3 LICom ne pouvant quant à elle comporter la garantie que ce règlement sera jugé valide dans chaque circonstance, en cas de recours ultérieur d’une personne</w:t>
      </w:r>
      <w:r w:rsidRPr="0073269D">
        <w:rPr>
          <w:spacing w:val="-6"/>
          <w:lang w:val="fr-CH"/>
        </w:rPr>
        <w:t xml:space="preserve"> </w:t>
      </w:r>
      <w:r w:rsidRPr="0073269D">
        <w:rPr>
          <w:lang w:val="fr-CH"/>
        </w:rPr>
        <w:t>concernée.</w:t>
      </w:r>
    </w:p>
    <w:p w14:paraId="13354200" w14:textId="77777777" w:rsidR="000314BD" w:rsidRPr="0073269D" w:rsidRDefault="000314BD">
      <w:pPr>
        <w:pStyle w:val="Corpsdetexte"/>
        <w:spacing w:before="1"/>
        <w:rPr>
          <w:sz w:val="21"/>
          <w:lang w:val="fr-CH"/>
        </w:rPr>
      </w:pPr>
    </w:p>
    <w:p w14:paraId="7D31B0D8" w14:textId="77777777" w:rsidR="000314BD" w:rsidRPr="0073269D" w:rsidRDefault="006120F0">
      <w:pPr>
        <w:pStyle w:val="Paragraphedeliste"/>
        <w:numPr>
          <w:ilvl w:val="0"/>
          <w:numId w:val="3"/>
        </w:numPr>
        <w:tabs>
          <w:tab w:val="left" w:pos="1628"/>
        </w:tabs>
        <w:ind w:right="129"/>
        <w:jc w:val="both"/>
        <w:rPr>
          <w:lang w:val="fr-CH"/>
        </w:rPr>
      </w:pPr>
      <w:r w:rsidRPr="0073269D">
        <w:rPr>
          <w:lang w:val="fr-CH"/>
        </w:rPr>
        <w:t>Les systèmes de taxation que prévoient les règlements types mis à disposition par l’Etat de Vaud ne sauraient eux-mêmes offrir la garantie de résister systématiquement à l’examen d’une autorité de recours, car la mise en œuvre des articles 4b et suivants LICom s’avère sur certains points complexe, a fortiori lorsqu’il s’agit de proposer une approche préconçue aux communes vaudoises malgré leurs situations très</w:t>
      </w:r>
      <w:r w:rsidRPr="0073269D">
        <w:rPr>
          <w:spacing w:val="-1"/>
          <w:lang w:val="fr-CH"/>
        </w:rPr>
        <w:t xml:space="preserve"> </w:t>
      </w:r>
      <w:r w:rsidRPr="0073269D">
        <w:rPr>
          <w:lang w:val="fr-CH"/>
        </w:rPr>
        <w:t>diverses.</w:t>
      </w:r>
    </w:p>
    <w:p w14:paraId="765A4D2B" w14:textId="77777777" w:rsidR="000314BD" w:rsidRPr="0073269D" w:rsidRDefault="000314BD">
      <w:pPr>
        <w:jc w:val="both"/>
        <w:rPr>
          <w:lang w:val="fr-CH"/>
        </w:rPr>
        <w:sectPr w:rsidR="000314BD" w:rsidRPr="0073269D">
          <w:footerReference w:type="default" r:id="rId8"/>
          <w:type w:val="continuous"/>
          <w:pgSz w:w="11910" w:h="16840"/>
          <w:pgMar w:top="780" w:right="1000" w:bottom="280" w:left="860" w:header="720" w:footer="720" w:gutter="0"/>
          <w:cols w:space="720"/>
        </w:sectPr>
      </w:pPr>
    </w:p>
    <w:p w14:paraId="014F70D2" w14:textId="77777777" w:rsidR="000314BD" w:rsidRPr="0073269D" w:rsidRDefault="006120F0">
      <w:pPr>
        <w:tabs>
          <w:tab w:val="right" w:pos="9910"/>
        </w:tabs>
        <w:spacing w:before="66"/>
        <w:ind w:left="1477"/>
        <w:rPr>
          <w:sz w:val="20"/>
          <w:lang w:val="fr-CH"/>
        </w:rPr>
      </w:pPr>
      <w:r>
        <w:rPr>
          <w:noProof/>
          <w:lang w:val="fr-CH" w:eastAsia="fr-CH"/>
        </w:rPr>
        <w:lastRenderedPageBreak/>
        <w:drawing>
          <wp:anchor distT="0" distB="0" distL="0" distR="0" simplePos="0" relativeHeight="15730176" behindDoc="0" locked="0" layoutInCell="1" allowOverlap="1" wp14:anchorId="541064E1" wp14:editId="13FAE701">
            <wp:simplePos x="0" y="0"/>
            <wp:positionH relativeFrom="page">
              <wp:posOffset>878586</wp:posOffset>
            </wp:positionH>
            <wp:positionV relativeFrom="paragraph">
              <wp:posOffset>42928</wp:posOffset>
            </wp:positionV>
            <wp:extent cx="475526" cy="79476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475526" cy="794766"/>
                    </a:xfrm>
                    <a:prstGeom prst="rect">
                      <a:avLst/>
                    </a:prstGeom>
                  </pic:spPr>
                </pic:pic>
              </a:graphicData>
            </a:graphic>
          </wp:anchor>
        </w:drawing>
      </w:r>
      <w:r w:rsidRPr="0073269D">
        <w:rPr>
          <w:sz w:val="20"/>
          <w:lang w:val="fr-CH"/>
        </w:rPr>
        <w:t>Secteur</w:t>
      </w:r>
      <w:r w:rsidRPr="0073269D">
        <w:rPr>
          <w:spacing w:val="-1"/>
          <w:sz w:val="20"/>
          <w:lang w:val="fr-CH"/>
        </w:rPr>
        <w:t xml:space="preserve"> </w:t>
      </w:r>
      <w:r w:rsidRPr="0073269D">
        <w:rPr>
          <w:sz w:val="20"/>
          <w:lang w:val="fr-CH"/>
        </w:rPr>
        <w:t>juridique</w:t>
      </w:r>
      <w:r w:rsidRPr="0073269D">
        <w:rPr>
          <w:sz w:val="20"/>
          <w:lang w:val="fr-CH"/>
        </w:rPr>
        <w:tab/>
        <w:t>2</w:t>
      </w:r>
    </w:p>
    <w:p w14:paraId="5FA7E80D" w14:textId="77777777" w:rsidR="000314BD" w:rsidRPr="0073269D" w:rsidRDefault="006120F0">
      <w:pPr>
        <w:tabs>
          <w:tab w:val="left" w:pos="2760"/>
          <w:tab w:val="left" w:pos="4099"/>
          <w:tab w:val="left" w:pos="4524"/>
          <w:tab w:val="left" w:pos="5183"/>
          <w:tab w:val="left" w:pos="6141"/>
          <w:tab w:val="left" w:pos="6634"/>
          <w:tab w:val="left" w:pos="8073"/>
          <w:tab w:val="left" w:pos="8675"/>
        </w:tabs>
        <w:spacing w:before="5" w:line="244" w:lineRule="auto"/>
        <w:ind w:left="1477" w:right="130"/>
        <w:rPr>
          <w:b/>
          <w:sz w:val="20"/>
          <w:lang w:val="fr-CH"/>
        </w:rPr>
      </w:pPr>
      <w:r w:rsidRPr="0073269D">
        <w:rPr>
          <w:b/>
          <w:sz w:val="20"/>
          <w:lang w:val="fr-CH"/>
        </w:rPr>
        <w:t>Règlement</w:t>
      </w:r>
      <w:r w:rsidRPr="0073269D">
        <w:rPr>
          <w:b/>
          <w:sz w:val="20"/>
          <w:lang w:val="fr-CH"/>
        </w:rPr>
        <w:tab/>
        <w:t>concernant</w:t>
      </w:r>
      <w:r w:rsidRPr="0073269D">
        <w:rPr>
          <w:b/>
          <w:sz w:val="20"/>
          <w:lang w:val="fr-CH"/>
        </w:rPr>
        <w:tab/>
        <w:t>la</w:t>
      </w:r>
      <w:r w:rsidRPr="0073269D">
        <w:rPr>
          <w:b/>
          <w:sz w:val="20"/>
          <w:lang w:val="fr-CH"/>
        </w:rPr>
        <w:tab/>
        <w:t>taxe</w:t>
      </w:r>
      <w:r w:rsidRPr="0073269D">
        <w:rPr>
          <w:b/>
          <w:sz w:val="20"/>
          <w:lang w:val="fr-CH"/>
        </w:rPr>
        <w:tab/>
        <w:t>relative</w:t>
      </w:r>
      <w:r w:rsidRPr="0073269D">
        <w:rPr>
          <w:b/>
          <w:sz w:val="20"/>
          <w:lang w:val="fr-CH"/>
        </w:rPr>
        <w:tab/>
        <w:t>au</w:t>
      </w:r>
      <w:r w:rsidRPr="0073269D">
        <w:rPr>
          <w:b/>
          <w:sz w:val="20"/>
          <w:lang w:val="fr-CH"/>
        </w:rPr>
        <w:tab/>
        <w:t>financement</w:t>
      </w:r>
      <w:r w:rsidRPr="0073269D">
        <w:rPr>
          <w:b/>
          <w:sz w:val="20"/>
          <w:lang w:val="fr-CH"/>
        </w:rPr>
        <w:tab/>
        <w:t>des</w:t>
      </w:r>
      <w:r w:rsidRPr="0073269D">
        <w:rPr>
          <w:b/>
          <w:sz w:val="20"/>
          <w:lang w:val="fr-CH"/>
        </w:rPr>
        <w:tab/>
        <w:t>équipements communautaires</w:t>
      </w:r>
    </w:p>
    <w:p w14:paraId="477E2AAB" w14:textId="77777777" w:rsidR="000314BD" w:rsidRPr="0073269D" w:rsidRDefault="000314BD">
      <w:pPr>
        <w:pStyle w:val="Corpsdetexte"/>
        <w:rPr>
          <w:b/>
          <w:sz w:val="24"/>
          <w:lang w:val="fr-CH"/>
        </w:rPr>
      </w:pPr>
    </w:p>
    <w:p w14:paraId="4E37AF4C" w14:textId="77777777" w:rsidR="000314BD" w:rsidRPr="0073269D" w:rsidRDefault="000314BD">
      <w:pPr>
        <w:pStyle w:val="Corpsdetexte"/>
        <w:rPr>
          <w:b/>
          <w:sz w:val="24"/>
          <w:lang w:val="fr-CH"/>
        </w:rPr>
      </w:pPr>
    </w:p>
    <w:p w14:paraId="494CD3E5" w14:textId="77777777" w:rsidR="000314BD" w:rsidRPr="0073269D" w:rsidRDefault="000314BD">
      <w:pPr>
        <w:pStyle w:val="Corpsdetexte"/>
        <w:rPr>
          <w:b/>
          <w:sz w:val="24"/>
          <w:lang w:val="fr-CH"/>
        </w:rPr>
      </w:pPr>
    </w:p>
    <w:p w14:paraId="2369D781" w14:textId="77777777" w:rsidR="000314BD" w:rsidRPr="0073269D" w:rsidRDefault="000314BD">
      <w:pPr>
        <w:pStyle w:val="Corpsdetexte"/>
        <w:rPr>
          <w:b/>
          <w:sz w:val="24"/>
          <w:lang w:val="fr-CH"/>
        </w:rPr>
      </w:pPr>
    </w:p>
    <w:p w14:paraId="2E7D2524" w14:textId="77777777" w:rsidR="000314BD" w:rsidRPr="0073269D" w:rsidRDefault="000314BD">
      <w:pPr>
        <w:pStyle w:val="Corpsdetexte"/>
        <w:spacing w:before="3"/>
        <w:rPr>
          <w:b/>
          <w:sz w:val="24"/>
          <w:lang w:val="fr-CH"/>
        </w:rPr>
      </w:pPr>
    </w:p>
    <w:p w14:paraId="12068F2D" w14:textId="77777777" w:rsidR="000314BD" w:rsidRPr="0073269D" w:rsidRDefault="006120F0">
      <w:pPr>
        <w:pStyle w:val="Titre1"/>
        <w:numPr>
          <w:ilvl w:val="0"/>
          <w:numId w:val="4"/>
        </w:numPr>
        <w:tabs>
          <w:tab w:val="left" w:pos="1692"/>
          <w:tab w:val="left" w:pos="1693"/>
        </w:tabs>
        <w:ind w:hanging="427"/>
        <w:rPr>
          <w:lang w:val="fr-CH"/>
        </w:rPr>
      </w:pPr>
      <w:r w:rsidRPr="0073269D">
        <w:rPr>
          <w:lang w:val="fr-CH"/>
        </w:rPr>
        <w:t>Explications relatives à la nouvelle variante du règlement</w:t>
      </w:r>
      <w:r w:rsidRPr="0073269D">
        <w:rPr>
          <w:spacing w:val="-3"/>
          <w:lang w:val="fr-CH"/>
        </w:rPr>
        <w:t xml:space="preserve"> </w:t>
      </w:r>
      <w:r w:rsidRPr="0073269D">
        <w:rPr>
          <w:lang w:val="fr-CH"/>
        </w:rPr>
        <w:t>type</w:t>
      </w:r>
    </w:p>
    <w:p w14:paraId="20AF7490" w14:textId="77777777" w:rsidR="000314BD" w:rsidRPr="0073269D" w:rsidRDefault="000314BD">
      <w:pPr>
        <w:pStyle w:val="Corpsdetexte"/>
        <w:spacing w:before="8"/>
        <w:rPr>
          <w:b/>
          <w:sz w:val="21"/>
          <w:lang w:val="fr-CH"/>
        </w:rPr>
      </w:pPr>
    </w:p>
    <w:p w14:paraId="0617692B" w14:textId="77777777" w:rsidR="000314BD" w:rsidRDefault="006120F0">
      <w:pPr>
        <w:ind w:left="1266"/>
        <w:jc w:val="both"/>
        <w:rPr>
          <w:i/>
        </w:rPr>
      </w:pPr>
      <w:proofErr w:type="spellStart"/>
      <w:r>
        <w:rPr>
          <w:i/>
        </w:rPr>
        <w:t>Règlement</w:t>
      </w:r>
      <w:proofErr w:type="spellEnd"/>
      <w:r>
        <w:rPr>
          <w:i/>
        </w:rPr>
        <w:t xml:space="preserve"> « </w:t>
      </w:r>
      <w:proofErr w:type="spellStart"/>
      <w:r>
        <w:rPr>
          <w:i/>
        </w:rPr>
        <w:t>général</w:t>
      </w:r>
      <w:proofErr w:type="spellEnd"/>
      <w:r>
        <w:rPr>
          <w:i/>
        </w:rPr>
        <w:t xml:space="preserve"> »</w:t>
      </w:r>
    </w:p>
    <w:p w14:paraId="4B2A5A95" w14:textId="77777777" w:rsidR="000314BD" w:rsidRDefault="000314BD">
      <w:pPr>
        <w:pStyle w:val="Corpsdetexte"/>
        <w:spacing w:before="8"/>
        <w:rPr>
          <w:i/>
          <w:sz w:val="21"/>
        </w:rPr>
      </w:pPr>
    </w:p>
    <w:p w14:paraId="32E1D64E" w14:textId="77777777" w:rsidR="000314BD" w:rsidRPr="0073269D" w:rsidRDefault="006120F0">
      <w:pPr>
        <w:pStyle w:val="Corpsdetexte"/>
        <w:spacing w:before="1"/>
        <w:ind w:left="1266" w:right="129"/>
        <w:jc w:val="both"/>
        <w:rPr>
          <w:lang w:val="fr-CH"/>
        </w:rPr>
      </w:pPr>
      <w:r w:rsidRPr="0073269D">
        <w:rPr>
          <w:lang w:val="fr-CH"/>
        </w:rPr>
        <w:t>Le règlement type proposé en annexe à la présente note s’applique à l’ensemble du territoire d’une commune (article 1). Il détermine par avance chaque type de mesure d’aménagement du territoire qui donnera matière à taxation (article 3), le genre d’équipements communautaires que la taxe permettra de financer (articles 4 à 6) et la façon dont son montant sera calculé (articles 4 à 7). Cette approche « générale » et exhaustive de la réglementation de la taxe pour l’équipement communautaire</w:t>
      </w:r>
      <w:r w:rsidRPr="0073269D">
        <w:rPr>
          <w:vertAlign w:val="superscript"/>
          <w:lang w:val="fr-CH"/>
        </w:rPr>
        <w:t>1</w:t>
      </w:r>
      <w:r w:rsidRPr="0073269D">
        <w:rPr>
          <w:lang w:val="fr-CH"/>
        </w:rPr>
        <w:t xml:space="preserve"> a été retenue dans le but de proposer aux communes un dispositif fournissant par nature des assurances de conformité aux exigences de légalité et d’égalité de traitement applicables en matière fiscale. Elle permet aussi de prévenir certaines difficultés de coordination entre la procédure de planification et celle d’adoption du règlement communal relatif à la taxe, susceptibles de se présenter quand une commune choisit d’édicter des règlements « par plan » (voir ci-dessous). En effet, un règlement communal sur le modèle proposé peut être adopté en tout temps, indépendamment de projets d’aménagement du territoire précis. Par la suite, lorsque de tels projets seront menés, la commune disposera déjà d’un règlement relatif à la taxe pour l’équipement communautaire.</w:t>
      </w:r>
    </w:p>
    <w:p w14:paraId="1CE72F73" w14:textId="77777777" w:rsidR="000314BD" w:rsidRPr="0073269D" w:rsidRDefault="000314BD">
      <w:pPr>
        <w:pStyle w:val="Corpsdetexte"/>
        <w:spacing w:before="6"/>
        <w:rPr>
          <w:sz w:val="20"/>
          <w:lang w:val="fr-CH"/>
        </w:rPr>
      </w:pPr>
    </w:p>
    <w:p w14:paraId="6C1422B2" w14:textId="77777777" w:rsidR="000314BD" w:rsidRPr="0073269D" w:rsidRDefault="006120F0">
      <w:pPr>
        <w:pStyle w:val="Corpsdetexte"/>
        <w:ind w:left="1266" w:right="127"/>
        <w:jc w:val="both"/>
        <w:rPr>
          <w:lang w:val="fr-CH"/>
        </w:rPr>
      </w:pPr>
      <w:r w:rsidRPr="0073269D">
        <w:rPr>
          <w:lang w:val="fr-CH"/>
        </w:rPr>
        <w:t xml:space="preserve">Au cours des derniers mois, plusieurs communes ont choisi pour leur part de prévoir le prélèvement d’une taxe pour l’équipement communautaire dans des règlements liés à l’adoption de mesures d’aménagement du territoire particulières (Exemple: </w:t>
      </w:r>
      <w:r w:rsidRPr="0073269D">
        <w:rPr>
          <w:i/>
          <w:lang w:val="fr-CH"/>
        </w:rPr>
        <w:t>« Règlement relatif à la perception de la taxe pour l’équipement communautaire dans le périmètre du PPA XYZ»</w:t>
      </w:r>
      <w:r w:rsidRPr="0073269D">
        <w:rPr>
          <w:lang w:val="fr-CH"/>
        </w:rPr>
        <w:t>)</w:t>
      </w:r>
      <w:r w:rsidRPr="0073269D">
        <w:rPr>
          <w:i/>
          <w:lang w:val="fr-CH"/>
        </w:rPr>
        <w:t xml:space="preserve">. </w:t>
      </w:r>
      <w:r w:rsidRPr="0073269D">
        <w:rPr>
          <w:lang w:val="fr-CH"/>
        </w:rPr>
        <w:t>Elles adoptent donc ces règlements « par plan », au fur et à mesure de leur développement. Ce système offre d’avantage de souplesse, mais le Département estime qu’il pourrait occasionner des difficultés particulières s’agissant de conserver une cohérence suffisante entre les différents règlements édictés au fil du temps. En outre la coordination entre l’adoption de la mesure d’aménagement du territoire et celle du règlement prévoyant la perception de la taxe peut s’avérer délicate.</w:t>
      </w:r>
    </w:p>
    <w:p w14:paraId="5B83F149" w14:textId="77777777" w:rsidR="000314BD" w:rsidRPr="0073269D" w:rsidRDefault="000314BD">
      <w:pPr>
        <w:pStyle w:val="Corpsdetexte"/>
        <w:spacing w:before="11"/>
        <w:rPr>
          <w:sz w:val="20"/>
          <w:lang w:val="fr-CH"/>
        </w:rPr>
      </w:pPr>
    </w:p>
    <w:p w14:paraId="6FCC69A3" w14:textId="77777777" w:rsidR="000314BD" w:rsidRPr="0073269D" w:rsidRDefault="006120F0">
      <w:pPr>
        <w:pStyle w:val="Corpsdetexte"/>
        <w:ind w:left="1266" w:right="129"/>
        <w:jc w:val="both"/>
        <w:rPr>
          <w:lang w:val="fr-CH"/>
        </w:rPr>
      </w:pPr>
      <w:r w:rsidRPr="0073269D">
        <w:rPr>
          <w:lang w:val="fr-CH"/>
        </w:rPr>
        <w:t>Enfin, sans plus évoquer ces cas précis, on rappellera que les règlements types fournis par l’Etat de Vaud ne sont pas des modèles contraignants. Les communes qui le souhaitent conservent donc la possibilité d’élaborer des systèmes de prélèvement de la taxe pour l’équipement communautaire différents, à condition qu’ils puissent être approuvés par le Département lors de l’examen de validité des règlements prévu par l’article 4c LICom, ici réservé.</w:t>
      </w:r>
    </w:p>
    <w:p w14:paraId="0FFD968B" w14:textId="77777777" w:rsidR="000314BD" w:rsidRPr="0073269D" w:rsidRDefault="000314BD">
      <w:pPr>
        <w:pStyle w:val="Corpsdetexte"/>
        <w:rPr>
          <w:sz w:val="24"/>
          <w:lang w:val="fr-CH"/>
        </w:rPr>
      </w:pPr>
    </w:p>
    <w:p w14:paraId="0E84FD95" w14:textId="77777777" w:rsidR="000314BD" w:rsidRPr="0073269D" w:rsidRDefault="000314BD">
      <w:pPr>
        <w:pStyle w:val="Corpsdetexte"/>
        <w:rPr>
          <w:sz w:val="24"/>
          <w:lang w:val="fr-CH"/>
        </w:rPr>
      </w:pPr>
    </w:p>
    <w:p w14:paraId="1F01019E" w14:textId="77777777" w:rsidR="000314BD" w:rsidRPr="0073269D" w:rsidRDefault="000314BD">
      <w:pPr>
        <w:pStyle w:val="Corpsdetexte"/>
        <w:rPr>
          <w:sz w:val="24"/>
          <w:lang w:val="fr-CH"/>
        </w:rPr>
      </w:pPr>
    </w:p>
    <w:p w14:paraId="04A7BEA1" w14:textId="77777777" w:rsidR="000314BD" w:rsidRPr="0073269D" w:rsidRDefault="006120F0">
      <w:pPr>
        <w:spacing w:before="174"/>
        <w:ind w:left="1266"/>
        <w:jc w:val="both"/>
        <w:rPr>
          <w:i/>
          <w:lang w:val="fr-CH"/>
        </w:rPr>
      </w:pPr>
      <w:r w:rsidRPr="0073269D">
        <w:rPr>
          <w:i/>
          <w:lang w:val="fr-CH"/>
        </w:rPr>
        <w:t>Définition des cas de taxation (article 3)</w:t>
      </w:r>
    </w:p>
    <w:p w14:paraId="3248CAC1" w14:textId="77777777" w:rsidR="000314BD" w:rsidRPr="0073269D" w:rsidRDefault="00F349F4">
      <w:pPr>
        <w:pStyle w:val="Corpsdetexte"/>
        <w:spacing w:before="7"/>
        <w:rPr>
          <w:i/>
          <w:sz w:val="14"/>
          <w:lang w:val="fr-CH"/>
        </w:rPr>
      </w:pPr>
      <w:r>
        <w:rPr>
          <w:noProof/>
          <w:lang w:val="fr-CH" w:eastAsia="fr-CH"/>
        </w:rPr>
        <mc:AlternateContent>
          <mc:Choice Requires="wps">
            <w:drawing>
              <wp:anchor distT="0" distB="0" distL="0" distR="0" simplePos="0" relativeHeight="487588864" behindDoc="1" locked="0" layoutInCell="1" allowOverlap="1" wp14:anchorId="1B7CCDFC" wp14:editId="1DF6EE01">
                <wp:simplePos x="0" y="0"/>
                <wp:positionH relativeFrom="page">
                  <wp:posOffset>720090</wp:posOffset>
                </wp:positionH>
                <wp:positionV relativeFrom="paragraph">
                  <wp:posOffset>131445</wp:posOffset>
                </wp:positionV>
                <wp:extent cx="1828800" cy="7620"/>
                <wp:effectExtent l="0" t="0" r="0" b="0"/>
                <wp:wrapTopAndBottom/>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1987C" id="Rectangle 3" o:spid="_x0000_s1026" style="position:absolute;margin-left:56.7pt;margin-top:10.35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qd+gEAANkDAAAOAAAAZHJzL2Uyb0RvYy54bWysU8GO0zAQvSPxD5bvNE0p3RI1Xa26WoS0&#10;wIqFD5g6TmPheMzYbbp8PWOnWwrcEDlYHs/45b0349X1sbfioCkYdLUsJ1MptFPYGLer5dcvd6+W&#10;UoQIrgGLTtfySQd5vX75YjX4Ss+wQ9toEgziQjX4WnYx+qoogup0D2GCXjtOtkg9RA5pVzQEA6P3&#10;tphNp4tiQGo8odIh8OntmJTrjN+2WsVPbRt0FLaWzC3mlfK6TWuxXkG1I/CdUSca8A8sejCOf3qG&#10;uoUIYk/mL6jeKMKAbZwo7AtsW6N01sBqyukfah478DprYXOCP9sU/h+s+nh4IGGaWi6kcNBziz6z&#10;aeB2VovXyZ7Bh4qrHv0DJYHB36P6FoTDTcdV+oYIh05Dw6TKVF/8diEFga+K7fABG0aHfcTs1LGl&#10;PgGyB+KYG/J0bog+RqH4sFzOlssp901x7moxy/0qoHq+6ynEdxp7kTa1JGaeseFwH2LiAtVzSeaO&#10;1jR3xtoc0G67sSQOkEYjf5k+S7wssy4VO0zXRsR0kkUmXaM/W2yeWCPhOF/8HnjTIf2QYuDZqmX4&#10;vgfSUtj3jn16W87naRhzMH9zxboEXWa2lxlwiqFqGaUYt5s4DvDek9l1/Kcyi3Z4w962JgtPvo+s&#10;TmR5frIfp1lPA3oZ56pfL3L9EwAA//8DAFBLAwQUAAYACAAAACEAvFBRvt4AAAAJAQAADwAAAGRy&#10;cy9kb3ducmV2LnhtbEyPwU7DMBBE70j8g7VI3KidEKANcSqKxBGJFg7tzYm3SdR4HWK3DXw9ywmO&#10;M/s0O1MsJ9eLE46h86QhmSkQSLW3HTUaPt5fbuYgQjRkTe8JNXxhgGV5eVGY3PozrfG0iY3gEAq5&#10;0dDGOORShrpFZ8LMD0h82/vRmchybKQdzZnDXS9Tpe6lMx3xh9YM+NxifdgcnYbVYr76fMvo9Xtd&#10;7XC3rQ536ai0vr6anh5BRJziHwy/9bk6lNyp8keyQfSsk9uMUQ2pegDBQKYSNio2kgXIspD/F5Q/&#10;AAAA//8DAFBLAQItABQABgAIAAAAIQC2gziS/gAAAOEBAAATAAAAAAAAAAAAAAAAAAAAAABbQ29u&#10;dGVudF9UeXBlc10ueG1sUEsBAi0AFAAGAAgAAAAhADj9If/WAAAAlAEAAAsAAAAAAAAAAAAAAAAA&#10;LwEAAF9yZWxzLy5yZWxzUEsBAi0AFAAGAAgAAAAhAI8iap36AQAA2QMAAA4AAAAAAAAAAAAAAAAA&#10;LgIAAGRycy9lMm9Eb2MueG1sUEsBAi0AFAAGAAgAAAAhALxQUb7eAAAACQEAAA8AAAAAAAAAAAAA&#10;AAAAVAQAAGRycy9kb3ducmV2LnhtbFBLBQYAAAAABAAEAPMAAABfBQAAAAA=&#10;" fillcolor="black" stroked="f">
                <w10:wrap type="topAndBottom" anchorx="page"/>
              </v:rect>
            </w:pict>
          </mc:Fallback>
        </mc:AlternateContent>
      </w:r>
    </w:p>
    <w:p w14:paraId="2D9724A8" w14:textId="77777777" w:rsidR="000314BD" w:rsidRPr="0073269D" w:rsidRDefault="006120F0">
      <w:pPr>
        <w:spacing w:before="73"/>
        <w:ind w:left="1266" w:right="129"/>
        <w:jc w:val="both"/>
        <w:rPr>
          <w:sz w:val="18"/>
          <w:lang w:val="fr-CH"/>
        </w:rPr>
      </w:pPr>
      <w:r w:rsidRPr="0073269D">
        <w:rPr>
          <w:sz w:val="18"/>
          <w:vertAlign w:val="superscript"/>
          <w:lang w:val="fr-CH"/>
        </w:rPr>
        <w:t>1</w:t>
      </w:r>
      <w:r w:rsidRPr="0073269D">
        <w:rPr>
          <w:sz w:val="18"/>
          <w:lang w:val="fr-CH"/>
        </w:rPr>
        <w:t xml:space="preserve"> A laquelle l'article 1, alinéa 2 du règlement type permet néanmoins d'envisager des dérogations au travers de règlements spéciaux, uniquement si l'adoption d'une mesure d'aménagement du territoire implique la réalisation d'équipements communautaires d'une nature et d'une importance particulières. Pour ne pas ôter sa logique au système, ainsi que pour éviter d'être finalement confrontées aux mêmes difficultés que celles liées à une perception de la taxe pour l'équipement communautaire « par plan » évoquées plus bas, les communes veilleront à limiter ces cas.</w:t>
      </w:r>
    </w:p>
    <w:p w14:paraId="1A661301" w14:textId="77777777" w:rsidR="000314BD" w:rsidRPr="0073269D" w:rsidRDefault="000314BD">
      <w:pPr>
        <w:jc w:val="both"/>
        <w:rPr>
          <w:sz w:val="18"/>
          <w:lang w:val="fr-CH"/>
        </w:rPr>
        <w:sectPr w:rsidR="000314BD" w:rsidRPr="0073269D" w:rsidSect="004950EE">
          <w:footerReference w:type="default" r:id="rId10"/>
          <w:pgSz w:w="11910" w:h="16840"/>
          <w:pgMar w:top="500" w:right="1000" w:bottom="1580" w:left="860" w:header="0" w:footer="1077" w:gutter="0"/>
          <w:cols w:space="720"/>
          <w:docGrid w:linePitch="299"/>
        </w:sectPr>
      </w:pPr>
    </w:p>
    <w:p w14:paraId="58F3DC43" w14:textId="77777777" w:rsidR="000314BD" w:rsidRPr="0073269D" w:rsidRDefault="006120F0">
      <w:pPr>
        <w:tabs>
          <w:tab w:val="right" w:pos="9910"/>
        </w:tabs>
        <w:spacing w:before="66"/>
        <w:ind w:left="1477"/>
        <w:rPr>
          <w:sz w:val="20"/>
          <w:lang w:val="fr-CH"/>
        </w:rPr>
      </w:pPr>
      <w:r>
        <w:rPr>
          <w:noProof/>
          <w:lang w:val="fr-CH" w:eastAsia="fr-CH"/>
        </w:rPr>
        <w:lastRenderedPageBreak/>
        <w:drawing>
          <wp:anchor distT="0" distB="0" distL="0" distR="0" simplePos="0" relativeHeight="15731200" behindDoc="0" locked="0" layoutInCell="1" allowOverlap="1" wp14:anchorId="25154B58" wp14:editId="3CF8448A">
            <wp:simplePos x="0" y="0"/>
            <wp:positionH relativeFrom="page">
              <wp:posOffset>878586</wp:posOffset>
            </wp:positionH>
            <wp:positionV relativeFrom="paragraph">
              <wp:posOffset>42928</wp:posOffset>
            </wp:positionV>
            <wp:extent cx="475526" cy="794766"/>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9" cstate="print"/>
                    <a:stretch>
                      <a:fillRect/>
                    </a:stretch>
                  </pic:blipFill>
                  <pic:spPr>
                    <a:xfrm>
                      <a:off x="0" y="0"/>
                      <a:ext cx="475526" cy="794766"/>
                    </a:xfrm>
                    <a:prstGeom prst="rect">
                      <a:avLst/>
                    </a:prstGeom>
                  </pic:spPr>
                </pic:pic>
              </a:graphicData>
            </a:graphic>
          </wp:anchor>
        </w:drawing>
      </w:r>
      <w:r w:rsidRPr="0073269D">
        <w:rPr>
          <w:sz w:val="20"/>
          <w:lang w:val="fr-CH"/>
        </w:rPr>
        <w:t>Secteur</w:t>
      </w:r>
      <w:r w:rsidRPr="0073269D">
        <w:rPr>
          <w:spacing w:val="-1"/>
          <w:sz w:val="20"/>
          <w:lang w:val="fr-CH"/>
        </w:rPr>
        <w:t xml:space="preserve"> </w:t>
      </w:r>
      <w:r w:rsidRPr="0073269D">
        <w:rPr>
          <w:sz w:val="20"/>
          <w:lang w:val="fr-CH"/>
        </w:rPr>
        <w:t>juridique</w:t>
      </w:r>
      <w:r w:rsidRPr="0073269D">
        <w:rPr>
          <w:sz w:val="20"/>
          <w:lang w:val="fr-CH"/>
        </w:rPr>
        <w:tab/>
        <w:t>3</w:t>
      </w:r>
    </w:p>
    <w:p w14:paraId="1E55DA72" w14:textId="77777777" w:rsidR="000314BD" w:rsidRPr="0073269D" w:rsidRDefault="006120F0">
      <w:pPr>
        <w:tabs>
          <w:tab w:val="left" w:pos="2760"/>
          <w:tab w:val="left" w:pos="4099"/>
          <w:tab w:val="left" w:pos="4524"/>
          <w:tab w:val="left" w:pos="5183"/>
          <w:tab w:val="left" w:pos="6141"/>
          <w:tab w:val="left" w:pos="6634"/>
          <w:tab w:val="left" w:pos="8073"/>
          <w:tab w:val="left" w:pos="8675"/>
        </w:tabs>
        <w:spacing w:before="5" w:line="244" w:lineRule="auto"/>
        <w:ind w:left="1477" w:right="130"/>
        <w:rPr>
          <w:b/>
          <w:sz w:val="20"/>
          <w:lang w:val="fr-CH"/>
        </w:rPr>
      </w:pPr>
      <w:r w:rsidRPr="0073269D">
        <w:rPr>
          <w:b/>
          <w:sz w:val="20"/>
          <w:lang w:val="fr-CH"/>
        </w:rPr>
        <w:t>Règlement</w:t>
      </w:r>
      <w:r w:rsidRPr="0073269D">
        <w:rPr>
          <w:b/>
          <w:sz w:val="20"/>
          <w:lang w:val="fr-CH"/>
        </w:rPr>
        <w:tab/>
        <w:t>concernant</w:t>
      </w:r>
      <w:r w:rsidRPr="0073269D">
        <w:rPr>
          <w:b/>
          <w:sz w:val="20"/>
          <w:lang w:val="fr-CH"/>
        </w:rPr>
        <w:tab/>
        <w:t>la</w:t>
      </w:r>
      <w:r w:rsidRPr="0073269D">
        <w:rPr>
          <w:b/>
          <w:sz w:val="20"/>
          <w:lang w:val="fr-CH"/>
        </w:rPr>
        <w:tab/>
        <w:t>taxe</w:t>
      </w:r>
      <w:r w:rsidRPr="0073269D">
        <w:rPr>
          <w:b/>
          <w:sz w:val="20"/>
          <w:lang w:val="fr-CH"/>
        </w:rPr>
        <w:tab/>
        <w:t>relative</w:t>
      </w:r>
      <w:r w:rsidRPr="0073269D">
        <w:rPr>
          <w:b/>
          <w:sz w:val="20"/>
          <w:lang w:val="fr-CH"/>
        </w:rPr>
        <w:tab/>
        <w:t>au</w:t>
      </w:r>
      <w:r w:rsidRPr="0073269D">
        <w:rPr>
          <w:b/>
          <w:sz w:val="20"/>
          <w:lang w:val="fr-CH"/>
        </w:rPr>
        <w:tab/>
        <w:t>financement</w:t>
      </w:r>
      <w:r w:rsidRPr="0073269D">
        <w:rPr>
          <w:b/>
          <w:sz w:val="20"/>
          <w:lang w:val="fr-CH"/>
        </w:rPr>
        <w:tab/>
        <w:t>des</w:t>
      </w:r>
      <w:r w:rsidRPr="0073269D">
        <w:rPr>
          <w:b/>
          <w:sz w:val="20"/>
          <w:lang w:val="fr-CH"/>
        </w:rPr>
        <w:tab/>
        <w:t>équipements communautaires</w:t>
      </w:r>
    </w:p>
    <w:p w14:paraId="5EAA14AA" w14:textId="77777777" w:rsidR="000314BD" w:rsidRPr="0073269D" w:rsidRDefault="000314BD">
      <w:pPr>
        <w:pStyle w:val="Corpsdetexte"/>
        <w:rPr>
          <w:b/>
          <w:sz w:val="24"/>
          <w:lang w:val="fr-CH"/>
        </w:rPr>
      </w:pPr>
    </w:p>
    <w:p w14:paraId="3DE7A203" w14:textId="77777777" w:rsidR="000314BD" w:rsidRPr="0073269D" w:rsidRDefault="000314BD">
      <w:pPr>
        <w:pStyle w:val="Corpsdetexte"/>
        <w:rPr>
          <w:b/>
          <w:sz w:val="24"/>
          <w:lang w:val="fr-CH"/>
        </w:rPr>
      </w:pPr>
    </w:p>
    <w:p w14:paraId="7A3F2846" w14:textId="77777777" w:rsidR="000314BD" w:rsidRPr="0073269D" w:rsidRDefault="000314BD">
      <w:pPr>
        <w:pStyle w:val="Corpsdetexte"/>
        <w:rPr>
          <w:b/>
          <w:sz w:val="24"/>
          <w:lang w:val="fr-CH"/>
        </w:rPr>
      </w:pPr>
    </w:p>
    <w:p w14:paraId="63F907CE" w14:textId="77777777" w:rsidR="000314BD" w:rsidRPr="0073269D" w:rsidRDefault="000314BD">
      <w:pPr>
        <w:pStyle w:val="Corpsdetexte"/>
        <w:rPr>
          <w:b/>
          <w:sz w:val="24"/>
          <w:lang w:val="fr-CH"/>
        </w:rPr>
      </w:pPr>
    </w:p>
    <w:p w14:paraId="63AD45C5" w14:textId="77777777" w:rsidR="000314BD" w:rsidRPr="0073269D" w:rsidRDefault="000314BD">
      <w:pPr>
        <w:pStyle w:val="Corpsdetexte"/>
        <w:rPr>
          <w:b/>
          <w:sz w:val="24"/>
          <w:lang w:val="fr-CH"/>
        </w:rPr>
      </w:pPr>
    </w:p>
    <w:p w14:paraId="095A91E7" w14:textId="77777777" w:rsidR="000314BD" w:rsidRPr="0073269D" w:rsidRDefault="000314BD">
      <w:pPr>
        <w:pStyle w:val="Corpsdetexte"/>
        <w:spacing w:before="5"/>
        <w:rPr>
          <w:b/>
          <w:sz w:val="21"/>
          <w:lang w:val="fr-CH"/>
        </w:rPr>
      </w:pPr>
    </w:p>
    <w:p w14:paraId="729BFDA4" w14:textId="77777777" w:rsidR="000314BD" w:rsidRPr="0073269D" w:rsidRDefault="006120F0">
      <w:pPr>
        <w:pStyle w:val="Corpsdetexte"/>
        <w:ind w:left="1267" w:right="128"/>
        <w:jc w:val="both"/>
        <w:rPr>
          <w:lang w:val="fr-CH"/>
        </w:rPr>
      </w:pPr>
      <w:r w:rsidRPr="0073269D">
        <w:rPr>
          <w:lang w:val="fr-CH"/>
        </w:rPr>
        <w:t xml:space="preserve">L’article 4c LICom ne suffit pas à définir les mesures d’aménagement qui donneront lieu à perception de la taxe pour l’équipement communautaire dans une commune. En effet, après avoir stipulé qu’une telle mesure doit augmenter « </w:t>
      </w:r>
      <w:r w:rsidRPr="0073269D">
        <w:rPr>
          <w:i/>
          <w:lang w:val="fr-CH"/>
        </w:rPr>
        <w:t xml:space="preserve">sensiblement » </w:t>
      </w:r>
      <w:r w:rsidRPr="0073269D">
        <w:rPr>
          <w:lang w:val="fr-CH"/>
        </w:rPr>
        <w:t xml:space="preserve">la valeur d’un bien-fonds pour permettre la taxation, cette disposition se limite à mentionner deux exemples possibles. Il revient donc aux communes de désigner elles-mêmes les cas dans lesquels la taxe sera perçue. C’est l’objet de l’article 3 du règlement type, qui reprend les deux exemples mentionnés par la loi cantonale en laissant aux </w:t>
      </w:r>
      <w:proofErr w:type="gramStart"/>
      <w:r w:rsidRPr="0073269D">
        <w:rPr>
          <w:lang w:val="fr-CH"/>
        </w:rPr>
        <w:t>communes  la</w:t>
      </w:r>
      <w:proofErr w:type="gramEnd"/>
      <w:r w:rsidRPr="0073269D">
        <w:rPr>
          <w:lang w:val="fr-CH"/>
        </w:rPr>
        <w:t xml:space="preserve"> possibilité d’en prévoir</w:t>
      </w:r>
      <w:r w:rsidRPr="0073269D">
        <w:rPr>
          <w:spacing w:val="-1"/>
          <w:lang w:val="fr-CH"/>
        </w:rPr>
        <w:t xml:space="preserve"> </w:t>
      </w:r>
      <w:r w:rsidRPr="0073269D">
        <w:rPr>
          <w:lang w:val="fr-CH"/>
        </w:rPr>
        <w:t>d’autres.</w:t>
      </w:r>
    </w:p>
    <w:p w14:paraId="655E7BA8" w14:textId="77777777" w:rsidR="000314BD" w:rsidRPr="0073269D" w:rsidRDefault="000314BD">
      <w:pPr>
        <w:pStyle w:val="Corpsdetexte"/>
        <w:spacing w:before="2"/>
        <w:rPr>
          <w:sz w:val="21"/>
          <w:lang w:val="fr-CH"/>
        </w:rPr>
      </w:pPr>
    </w:p>
    <w:p w14:paraId="74BAB844" w14:textId="77777777" w:rsidR="000314BD" w:rsidRPr="0073269D" w:rsidRDefault="006120F0">
      <w:pPr>
        <w:pStyle w:val="Corpsdetexte"/>
        <w:spacing w:before="1" w:line="252" w:lineRule="exact"/>
        <w:ind w:left="1267"/>
        <w:jc w:val="both"/>
        <w:rPr>
          <w:lang w:val="fr-CH"/>
        </w:rPr>
      </w:pPr>
      <w:r w:rsidRPr="0073269D">
        <w:rPr>
          <w:lang w:val="fr-CH"/>
        </w:rPr>
        <w:t>Afin de limiter la perception de la taxe aux mesures d’aménagement qui augmentent</w:t>
      </w:r>
    </w:p>
    <w:p w14:paraId="3A3BF98C" w14:textId="77777777" w:rsidR="000314BD" w:rsidRPr="0073269D" w:rsidRDefault="006120F0">
      <w:pPr>
        <w:pStyle w:val="Corpsdetexte"/>
        <w:ind w:left="1267" w:right="128"/>
        <w:jc w:val="both"/>
        <w:rPr>
          <w:lang w:val="fr-CH"/>
        </w:rPr>
      </w:pPr>
      <w:r w:rsidRPr="0073269D">
        <w:rPr>
          <w:i/>
          <w:lang w:val="fr-CH"/>
        </w:rPr>
        <w:t xml:space="preserve">« </w:t>
      </w:r>
      <w:proofErr w:type="gramStart"/>
      <w:r w:rsidRPr="0073269D">
        <w:rPr>
          <w:i/>
          <w:lang w:val="fr-CH"/>
        </w:rPr>
        <w:t>sensiblement</w:t>
      </w:r>
      <w:proofErr w:type="gramEnd"/>
      <w:r w:rsidRPr="0073269D">
        <w:rPr>
          <w:i/>
          <w:lang w:val="fr-CH"/>
        </w:rPr>
        <w:t xml:space="preserve"> » </w:t>
      </w:r>
      <w:r w:rsidRPr="0073269D">
        <w:rPr>
          <w:lang w:val="fr-CH"/>
        </w:rPr>
        <w:t>la valeur du bien-fonds concerné, cette disposition du règlement type prévoit la fixation de seuils (en fonction du nombre de m</w:t>
      </w:r>
      <w:r w:rsidRPr="0073269D">
        <w:rPr>
          <w:vertAlign w:val="superscript"/>
          <w:lang w:val="fr-CH"/>
        </w:rPr>
        <w:t>2</w:t>
      </w:r>
      <w:r w:rsidRPr="0073269D">
        <w:rPr>
          <w:lang w:val="fr-CH"/>
        </w:rPr>
        <w:t xml:space="preserve"> de surface de plancher déterminante nouvellement légalisés). Lorsqu’elles détermineront ces seuils, les communes tiendront compte des précisions qui figurent dans l’exposé des motifs accompagnant l’introduction des articles 4b et suivants LICom, selon lesquelles les frais administratifs liés à la perception de la taxe ne doivent pas être disproportionnés par rapport aux revenus escomptés</w:t>
      </w:r>
      <w:r w:rsidRPr="0073269D">
        <w:rPr>
          <w:vertAlign w:val="superscript"/>
          <w:lang w:val="fr-CH"/>
        </w:rPr>
        <w:t>2</w:t>
      </w:r>
      <w:r w:rsidRPr="0073269D">
        <w:rPr>
          <w:i/>
          <w:lang w:val="fr-CH"/>
        </w:rPr>
        <w:t xml:space="preserve">. </w:t>
      </w:r>
      <w:r w:rsidRPr="0073269D">
        <w:rPr>
          <w:lang w:val="fr-CH"/>
        </w:rPr>
        <w:t>Il leur est aussi proposé de ne pas définir des seuils si élevés qu’ils provoqueraient de brutales distinctions entre propriétaires bénéficiant tous d’augmentations sensibles de la valeur de leurs biens.</w:t>
      </w:r>
    </w:p>
    <w:p w14:paraId="29E1389E" w14:textId="77777777" w:rsidR="000314BD" w:rsidRPr="0073269D" w:rsidRDefault="000314BD">
      <w:pPr>
        <w:pStyle w:val="Corpsdetexte"/>
        <w:rPr>
          <w:sz w:val="24"/>
          <w:lang w:val="fr-CH"/>
        </w:rPr>
      </w:pPr>
    </w:p>
    <w:p w14:paraId="4045C730" w14:textId="77777777" w:rsidR="000314BD" w:rsidRPr="0073269D" w:rsidRDefault="000314BD">
      <w:pPr>
        <w:pStyle w:val="Corpsdetexte"/>
        <w:spacing w:before="2"/>
        <w:rPr>
          <w:sz w:val="19"/>
          <w:lang w:val="fr-CH"/>
        </w:rPr>
      </w:pPr>
    </w:p>
    <w:p w14:paraId="4FF74258" w14:textId="77777777" w:rsidR="000314BD" w:rsidRPr="0073269D" w:rsidRDefault="006120F0">
      <w:pPr>
        <w:spacing w:line="237" w:lineRule="auto"/>
        <w:ind w:left="1267" w:right="129"/>
        <w:jc w:val="both"/>
        <w:rPr>
          <w:i/>
          <w:lang w:val="fr-CH"/>
        </w:rPr>
      </w:pPr>
      <w:r w:rsidRPr="0073269D">
        <w:rPr>
          <w:i/>
          <w:lang w:val="fr-CH"/>
        </w:rPr>
        <w:t>Détermination du taux de taxation, des frais d’équipements communautaires pris en considération et de leur coût (articles 4, 5 et 6)</w:t>
      </w:r>
    </w:p>
    <w:p w14:paraId="5BB915DD" w14:textId="77777777" w:rsidR="000314BD" w:rsidRPr="0073269D" w:rsidRDefault="000314BD">
      <w:pPr>
        <w:pStyle w:val="Corpsdetexte"/>
        <w:spacing w:before="9"/>
        <w:rPr>
          <w:i/>
          <w:sz w:val="21"/>
          <w:lang w:val="fr-CH"/>
        </w:rPr>
      </w:pPr>
    </w:p>
    <w:p w14:paraId="6688AEB4" w14:textId="77777777" w:rsidR="000314BD" w:rsidRDefault="006120F0">
      <w:pPr>
        <w:pStyle w:val="Corpsdetexte"/>
        <w:ind w:left="1267" w:right="130"/>
        <w:jc w:val="both"/>
      </w:pPr>
      <w:r w:rsidRPr="0073269D">
        <w:rPr>
          <w:lang w:val="fr-CH"/>
        </w:rPr>
        <w:t xml:space="preserve">L’article 4b LICom indique que le montant de la taxe correspond au maximum à 50 % du coût des dépenses d’équipements communautaires liées à la mesure d’aménagement du territoire qui occasionne sa perception. </w:t>
      </w:r>
      <w:r>
        <w:t xml:space="preserve">Le </w:t>
      </w:r>
      <w:proofErr w:type="spellStart"/>
      <w:r>
        <w:t>règlement</w:t>
      </w:r>
      <w:proofErr w:type="spellEnd"/>
      <w:r>
        <w:t xml:space="preserve"> type </w:t>
      </w:r>
      <w:proofErr w:type="spellStart"/>
      <w:r>
        <w:t>définit</w:t>
      </w:r>
      <w:proofErr w:type="spellEnd"/>
      <w:r>
        <w:t xml:space="preserve"> </w:t>
      </w:r>
      <w:proofErr w:type="spellStart"/>
      <w:r>
        <w:t>donc</w:t>
      </w:r>
      <w:proofErr w:type="spellEnd"/>
      <w:r>
        <w:t xml:space="preserve"> les </w:t>
      </w:r>
      <w:proofErr w:type="spellStart"/>
      <w:r>
        <w:t>paramètres</w:t>
      </w:r>
      <w:proofErr w:type="spellEnd"/>
      <w:r>
        <w:t xml:space="preserve"> </w:t>
      </w:r>
      <w:proofErr w:type="spellStart"/>
      <w:r>
        <w:t>suivants</w:t>
      </w:r>
      <w:proofErr w:type="spellEnd"/>
      <w:r>
        <w:rPr>
          <w:spacing w:val="-1"/>
        </w:rPr>
        <w:t xml:space="preserve"> </w:t>
      </w:r>
      <w:r>
        <w:t>:</w:t>
      </w:r>
    </w:p>
    <w:p w14:paraId="24A30D0E" w14:textId="77777777" w:rsidR="000314BD" w:rsidRDefault="000314BD">
      <w:pPr>
        <w:pStyle w:val="Corpsdetexte"/>
        <w:spacing w:before="7"/>
        <w:rPr>
          <w:sz w:val="21"/>
        </w:rPr>
      </w:pPr>
    </w:p>
    <w:p w14:paraId="1E388783" w14:textId="77777777" w:rsidR="000314BD" w:rsidRPr="0073269D" w:rsidRDefault="006120F0">
      <w:pPr>
        <w:pStyle w:val="Paragraphedeliste"/>
        <w:numPr>
          <w:ilvl w:val="0"/>
          <w:numId w:val="2"/>
        </w:numPr>
        <w:tabs>
          <w:tab w:val="left" w:pos="1608"/>
        </w:tabs>
        <w:ind w:right="129"/>
        <w:jc w:val="both"/>
        <w:rPr>
          <w:lang w:val="fr-CH"/>
        </w:rPr>
      </w:pPr>
      <w:r w:rsidRPr="0073269D">
        <w:rPr>
          <w:lang w:val="fr-CH"/>
        </w:rPr>
        <w:t>Le taux de la taxe, en pourcents des dépenses d’équipement communautaires prises en considération, au maximum 50 % (article</w:t>
      </w:r>
      <w:r w:rsidRPr="0073269D">
        <w:rPr>
          <w:spacing w:val="-1"/>
          <w:lang w:val="fr-CH"/>
        </w:rPr>
        <w:t xml:space="preserve"> </w:t>
      </w:r>
      <w:r w:rsidRPr="0073269D">
        <w:rPr>
          <w:lang w:val="fr-CH"/>
        </w:rPr>
        <w:t>4).</w:t>
      </w:r>
    </w:p>
    <w:p w14:paraId="79B3739E" w14:textId="77777777" w:rsidR="000314BD" w:rsidRPr="0073269D" w:rsidRDefault="000314BD">
      <w:pPr>
        <w:pStyle w:val="Corpsdetexte"/>
        <w:spacing w:before="8"/>
        <w:rPr>
          <w:sz w:val="21"/>
          <w:lang w:val="fr-CH"/>
        </w:rPr>
      </w:pPr>
    </w:p>
    <w:p w14:paraId="74677C17" w14:textId="77777777" w:rsidR="000314BD" w:rsidRPr="0073269D" w:rsidRDefault="006120F0">
      <w:pPr>
        <w:pStyle w:val="Paragraphedeliste"/>
        <w:numPr>
          <w:ilvl w:val="0"/>
          <w:numId w:val="2"/>
        </w:numPr>
        <w:tabs>
          <w:tab w:val="left" w:pos="1608"/>
        </w:tabs>
        <w:ind w:right="129"/>
        <w:jc w:val="both"/>
        <w:rPr>
          <w:lang w:val="fr-CH"/>
        </w:rPr>
      </w:pPr>
      <w:r w:rsidRPr="0073269D">
        <w:rPr>
          <w:lang w:val="fr-CH"/>
        </w:rPr>
        <w:t>Le type de dépenses d’équipements communautaires prises en considération, en distinguant selon que la mesure d’aménagement aboutit à la légalisation de surfaces destinées au logement ou à des activités (article 5, alinéa 1, article 6, alinéa 1 et grille tarifaire annexée au règlement type). Trois exemples sont proposés (équipements scolaires de la scolarité obligatoire, équipements pré et para-scolaires, équipements de transports publics) étant précisé que les communes sont libres de restreindre ou de compléter cette énumération (cas échéant, elles devront élaborer les formules de calcul</w:t>
      </w:r>
      <w:r w:rsidRPr="0073269D">
        <w:rPr>
          <w:spacing w:val="-1"/>
          <w:lang w:val="fr-CH"/>
        </w:rPr>
        <w:t xml:space="preserve"> </w:t>
      </w:r>
      <w:r w:rsidRPr="0073269D">
        <w:rPr>
          <w:lang w:val="fr-CH"/>
        </w:rPr>
        <w:t>adéquates).</w:t>
      </w:r>
    </w:p>
    <w:p w14:paraId="41107CC2" w14:textId="77777777" w:rsidR="000314BD" w:rsidRPr="0073269D" w:rsidRDefault="000314BD">
      <w:pPr>
        <w:pStyle w:val="Corpsdetexte"/>
        <w:rPr>
          <w:sz w:val="20"/>
          <w:lang w:val="fr-CH"/>
        </w:rPr>
      </w:pPr>
    </w:p>
    <w:p w14:paraId="308F08CD" w14:textId="77777777" w:rsidR="000314BD" w:rsidRPr="0073269D" w:rsidRDefault="000314BD">
      <w:pPr>
        <w:pStyle w:val="Corpsdetexte"/>
        <w:rPr>
          <w:sz w:val="20"/>
          <w:lang w:val="fr-CH"/>
        </w:rPr>
      </w:pPr>
    </w:p>
    <w:p w14:paraId="7A5170A5" w14:textId="77777777" w:rsidR="000314BD" w:rsidRPr="0073269D" w:rsidRDefault="000314BD">
      <w:pPr>
        <w:pStyle w:val="Corpsdetexte"/>
        <w:rPr>
          <w:sz w:val="20"/>
          <w:lang w:val="fr-CH"/>
        </w:rPr>
      </w:pPr>
    </w:p>
    <w:p w14:paraId="215B516B" w14:textId="77777777" w:rsidR="000314BD" w:rsidRPr="0073269D" w:rsidRDefault="00F349F4">
      <w:pPr>
        <w:pStyle w:val="Corpsdetexte"/>
        <w:spacing w:before="7"/>
        <w:rPr>
          <w:sz w:val="12"/>
          <w:lang w:val="fr-CH"/>
        </w:rPr>
      </w:pPr>
      <w:r>
        <w:rPr>
          <w:noProof/>
          <w:lang w:val="fr-CH" w:eastAsia="fr-CH"/>
        </w:rPr>
        <mc:AlternateContent>
          <mc:Choice Requires="wps">
            <w:drawing>
              <wp:anchor distT="0" distB="0" distL="0" distR="0" simplePos="0" relativeHeight="487589888" behindDoc="1" locked="0" layoutInCell="1" allowOverlap="1" wp14:anchorId="1B6A263F" wp14:editId="5249F6A2">
                <wp:simplePos x="0" y="0"/>
                <wp:positionH relativeFrom="page">
                  <wp:posOffset>720090</wp:posOffset>
                </wp:positionH>
                <wp:positionV relativeFrom="paragraph">
                  <wp:posOffset>117475</wp:posOffset>
                </wp:positionV>
                <wp:extent cx="1828800" cy="762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25CC5" id="Rectangle 2" o:spid="_x0000_s1026" style="position:absolute;margin-left:56.7pt;margin-top:9.25pt;width:2in;height:.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Gw+gEAANk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1HIuhYOeW/TE&#10;poHbWi1myZ7Bh4qrnv0jJYHBP6D6FoTDdcdV+pYIh05Dw6TKVF/8diEFga+KzfARG0aHXcTs1KGl&#10;PgGyB+KQG3I8N0QfolB8WC5mi8WU+6Y4d301y/0qoHq56ynE9xp7kTa1JGaesWH/EGLiAtVLSeaO&#10;1jT3xtoc0HaztiT2kEYjf5k+S7wssy4VO0zXRsR0kkUmXaM/G2yOrJFwnC9+D7zpkH5IMfBs1TJ8&#10;3wFpKewHxz69K+fzNIw5mL+9Zl2CLjObyww4xVC1jFKM23UcB3jnyWw7/lOZRTu8ZW9bk4Un30dW&#10;J7I8P9mP06ynAb2Mc9WvF7n6CQAA//8DAFBLAwQUAAYACAAAACEACRA3rN4AAAAJAQAADwAAAGRy&#10;cy9kb3ducmV2LnhtbEyPQU/DMAyF70j8h8hI3FjS0UFXmk4MiSMSGxzYLW1MW61xSpNthV+Pd4Kb&#10;3/PT8+diNbleHHEMnScNyUyBQKq97ajR8P72fJOBCNGQNb0n1PCNAVbl5UVhcutPtMHjNjaCSyjk&#10;RkMb45BLGeoWnQkzPyDx7tOPzkSWYyPtaE5c7no5V+pOOtMRX2jNgE8t1vvtwWlYL7P112tKLz+b&#10;aoe7j2q/mI9K6+ur6fEBRMQp/oXhjM/oUDJT5Q9kg+hZJ7cpR3nIFiA4kKqEjYqN5T3IspD/Pyh/&#10;AQAA//8DAFBLAQItABQABgAIAAAAIQC2gziS/gAAAOEBAAATAAAAAAAAAAAAAAAAAAAAAABbQ29u&#10;dGVudF9UeXBlc10ueG1sUEsBAi0AFAAGAAgAAAAhADj9If/WAAAAlAEAAAsAAAAAAAAAAAAAAAAA&#10;LwEAAF9yZWxzLy5yZWxzUEsBAi0AFAAGAAgAAAAhAKMQ0bD6AQAA2QMAAA4AAAAAAAAAAAAAAAAA&#10;LgIAAGRycy9lMm9Eb2MueG1sUEsBAi0AFAAGAAgAAAAhAAkQN6zeAAAACQEAAA8AAAAAAAAAAAAA&#10;AAAAVAQAAGRycy9kb3ducmV2LnhtbFBLBQYAAAAABAAEAPMAAABfBQAAAAA=&#10;" fillcolor="black" stroked="f">
                <w10:wrap type="topAndBottom" anchorx="page"/>
              </v:rect>
            </w:pict>
          </mc:Fallback>
        </mc:AlternateContent>
      </w:r>
    </w:p>
    <w:p w14:paraId="474F49DE" w14:textId="77777777" w:rsidR="000314BD" w:rsidRPr="0073269D" w:rsidRDefault="006120F0">
      <w:pPr>
        <w:spacing w:before="91" w:line="242" w:lineRule="auto"/>
        <w:ind w:left="1267" w:right="130" w:hanging="1"/>
        <w:jc w:val="both"/>
        <w:rPr>
          <w:sz w:val="18"/>
          <w:lang w:val="fr-CH"/>
        </w:rPr>
      </w:pPr>
      <w:r w:rsidRPr="0073269D">
        <w:rPr>
          <w:sz w:val="18"/>
          <w:vertAlign w:val="superscript"/>
          <w:lang w:val="fr-CH"/>
        </w:rPr>
        <w:t>2</w:t>
      </w:r>
      <w:r w:rsidRPr="0073269D">
        <w:rPr>
          <w:sz w:val="18"/>
          <w:lang w:val="fr-CH"/>
        </w:rPr>
        <w:t xml:space="preserve">       Exposé des motifs et projet de lois modifiant la loi sur les impôts communaux du 5 décembre 1956 </w:t>
      </w:r>
      <w:proofErr w:type="gramStart"/>
      <w:r w:rsidRPr="0073269D">
        <w:rPr>
          <w:sz w:val="18"/>
          <w:lang w:val="fr-CH"/>
        </w:rPr>
        <w:t>et  la</w:t>
      </w:r>
      <w:proofErr w:type="gramEnd"/>
      <w:r w:rsidRPr="0073269D">
        <w:rPr>
          <w:sz w:val="18"/>
          <w:lang w:val="fr-CH"/>
        </w:rPr>
        <w:t xml:space="preserve"> loi sur les impôts directs cantonaux du 4 juillet 2000 et Rapport du Conseil d’Etat au Grand Conseil sur la motion Jacques Haldy et consorts - Pour permettre aux communes de financer leurs frais d’infrastructure en cas d’adoption d’un plan d’affectation, juin 2010, p.</w:t>
      </w:r>
      <w:r w:rsidRPr="0073269D">
        <w:rPr>
          <w:spacing w:val="-4"/>
          <w:sz w:val="18"/>
          <w:lang w:val="fr-CH"/>
        </w:rPr>
        <w:t xml:space="preserve"> </w:t>
      </w:r>
      <w:r w:rsidRPr="0073269D">
        <w:rPr>
          <w:sz w:val="18"/>
          <w:lang w:val="fr-CH"/>
        </w:rPr>
        <w:t>4.</w:t>
      </w:r>
    </w:p>
    <w:p w14:paraId="47D194E0" w14:textId="77777777" w:rsidR="000314BD" w:rsidRPr="0073269D" w:rsidRDefault="000314BD">
      <w:pPr>
        <w:spacing w:line="242" w:lineRule="auto"/>
        <w:jc w:val="both"/>
        <w:rPr>
          <w:sz w:val="18"/>
          <w:lang w:val="fr-CH"/>
        </w:rPr>
        <w:sectPr w:rsidR="000314BD" w:rsidRPr="0073269D">
          <w:pgSz w:w="11910" w:h="16840"/>
          <w:pgMar w:top="500" w:right="1000" w:bottom="1580" w:left="860" w:header="0" w:footer="1384" w:gutter="0"/>
          <w:cols w:space="720"/>
        </w:sectPr>
      </w:pPr>
    </w:p>
    <w:p w14:paraId="4E493D4D" w14:textId="77777777" w:rsidR="000314BD" w:rsidRPr="0073269D" w:rsidRDefault="006120F0">
      <w:pPr>
        <w:tabs>
          <w:tab w:val="right" w:pos="9910"/>
        </w:tabs>
        <w:spacing w:before="66"/>
        <w:ind w:left="1477"/>
        <w:rPr>
          <w:sz w:val="20"/>
          <w:lang w:val="fr-CH"/>
        </w:rPr>
      </w:pPr>
      <w:r>
        <w:rPr>
          <w:noProof/>
          <w:lang w:val="fr-CH" w:eastAsia="fr-CH"/>
        </w:rPr>
        <w:lastRenderedPageBreak/>
        <w:drawing>
          <wp:anchor distT="0" distB="0" distL="0" distR="0" simplePos="0" relativeHeight="15731712" behindDoc="0" locked="0" layoutInCell="1" allowOverlap="1" wp14:anchorId="7A878415" wp14:editId="3BE314A9">
            <wp:simplePos x="0" y="0"/>
            <wp:positionH relativeFrom="page">
              <wp:posOffset>878586</wp:posOffset>
            </wp:positionH>
            <wp:positionV relativeFrom="paragraph">
              <wp:posOffset>42928</wp:posOffset>
            </wp:positionV>
            <wp:extent cx="475526" cy="794766"/>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9" cstate="print"/>
                    <a:stretch>
                      <a:fillRect/>
                    </a:stretch>
                  </pic:blipFill>
                  <pic:spPr>
                    <a:xfrm>
                      <a:off x="0" y="0"/>
                      <a:ext cx="475526" cy="794766"/>
                    </a:xfrm>
                    <a:prstGeom prst="rect">
                      <a:avLst/>
                    </a:prstGeom>
                  </pic:spPr>
                </pic:pic>
              </a:graphicData>
            </a:graphic>
          </wp:anchor>
        </w:drawing>
      </w:r>
      <w:r w:rsidRPr="0073269D">
        <w:rPr>
          <w:sz w:val="20"/>
          <w:lang w:val="fr-CH"/>
        </w:rPr>
        <w:t>Secteur</w:t>
      </w:r>
      <w:r w:rsidRPr="0073269D">
        <w:rPr>
          <w:spacing w:val="-1"/>
          <w:sz w:val="20"/>
          <w:lang w:val="fr-CH"/>
        </w:rPr>
        <w:t xml:space="preserve"> </w:t>
      </w:r>
      <w:r w:rsidRPr="0073269D">
        <w:rPr>
          <w:sz w:val="20"/>
          <w:lang w:val="fr-CH"/>
        </w:rPr>
        <w:t>juridique</w:t>
      </w:r>
      <w:r w:rsidRPr="0073269D">
        <w:rPr>
          <w:sz w:val="20"/>
          <w:lang w:val="fr-CH"/>
        </w:rPr>
        <w:tab/>
        <w:t>4</w:t>
      </w:r>
    </w:p>
    <w:p w14:paraId="6AC18A56" w14:textId="77777777" w:rsidR="000314BD" w:rsidRPr="0073269D" w:rsidRDefault="006120F0">
      <w:pPr>
        <w:tabs>
          <w:tab w:val="left" w:pos="2760"/>
          <w:tab w:val="left" w:pos="4099"/>
          <w:tab w:val="left" w:pos="4524"/>
          <w:tab w:val="left" w:pos="5183"/>
          <w:tab w:val="left" w:pos="6141"/>
          <w:tab w:val="left" w:pos="6634"/>
          <w:tab w:val="left" w:pos="8073"/>
          <w:tab w:val="left" w:pos="8675"/>
        </w:tabs>
        <w:spacing w:before="5" w:line="244" w:lineRule="auto"/>
        <w:ind w:left="1477" w:right="130"/>
        <w:rPr>
          <w:b/>
          <w:sz w:val="20"/>
          <w:lang w:val="fr-CH"/>
        </w:rPr>
      </w:pPr>
      <w:r w:rsidRPr="0073269D">
        <w:rPr>
          <w:b/>
          <w:sz w:val="20"/>
          <w:lang w:val="fr-CH"/>
        </w:rPr>
        <w:t>Règlement</w:t>
      </w:r>
      <w:r w:rsidRPr="0073269D">
        <w:rPr>
          <w:b/>
          <w:sz w:val="20"/>
          <w:lang w:val="fr-CH"/>
        </w:rPr>
        <w:tab/>
        <w:t>concernant</w:t>
      </w:r>
      <w:r w:rsidRPr="0073269D">
        <w:rPr>
          <w:b/>
          <w:sz w:val="20"/>
          <w:lang w:val="fr-CH"/>
        </w:rPr>
        <w:tab/>
        <w:t>la</w:t>
      </w:r>
      <w:r w:rsidRPr="0073269D">
        <w:rPr>
          <w:b/>
          <w:sz w:val="20"/>
          <w:lang w:val="fr-CH"/>
        </w:rPr>
        <w:tab/>
        <w:t>taxe</w:t>
      </w:r>
      <w:r w:rsidRPr="0073269D">
        <w:rPr>
          <w:b/>
          <w:sz w:val="20"/>
          <w:lang w:val="fr-CH"/>
        </w:rPr>
        <w:tab/>
        <w:t>relative</w:t>
      </w:r>
      <w:r w:rsidRPr="0073269D">
        <w:rPr>
          <w:b/>
          <w:sz w:val="20"/>
          <w:lang w:val="fr-CH"/>
        </w:rPr>
        <w:tab/>
        <w:t>au</w:t>
      </w:r>
      <w:r w:rsidRPr="0073269D">
        <w:rPr>
          <w:b/>
          <w:sz w:val="20"/>
          <w:lang w:val="fr-CH"/>
        </w:rPr>
        <w:tab/>
        <w:t>financement</w:t>
      </w:r>
      <w:r w:rsidRPr="0073269D">
        <w:rPr>
          <w:b/>
          <w:sz w:val="20"/>
          <w:lang w:val="fr-CH"/>
        </w:rPr>
        <w:tab/>
        <w:t>des</w:t>
      </w:r>
      <w:r w:rsidRPr="0073269D">
        <w:rPr>
          <w:b/>
          <w:sz w:val="20"/>
          <w:lang w:val="fr-CH"/>
        </w:rPr>
        <w:tab/>
        <w:t>équipements communautaires</w:t>
      </w:r>
    </w:p>
    <w:p w14:paraId="1DE4FD81" w14:textId="77777777" w:rsidR="000314BD" w:rsidRPr="0073269D" w:rsidRDefault="000314BD">
      <w:pPr>
        <w:pStyle w:val="Corpsdetexte"/>
        <w:rPr>
          <w:b/>
          <w:lang w:val="fr-CH"/>
        </w:rPr>
      </w:pPr>
    </w:p>
    <w:p w14:paraId="74DE05CB" w14:textId="77777777" w:rsidR="000314BD" w:rsidRPr="0073269D" w:rsidRDefault="000314BD">
      <w:pPr>
        <w:pStyle w:val="Corpsdetexte"/>
        <w:rPr>
          <w:b/>
          <w:lang w:val="fr-CH"/>
        </w:rPr>
      </w:pPr>
    </w:p>
    <w:p w14:paraId="049124FA" w14:textId="77777777" w:rsidR="000314BD" w:rsidRPr="0073269D" w:rsidRDefault="000314BD">
      <w:pPr>
        <w:pStyle w:val="Corpsdetexte"/>
        <w:rPr>
          <w:b/>
          <w:lang w:val="fr-CH"/>
        </w:rPr>
      </w:pPr>
    </w:p>
    <w:p w14:paraId="4F443168" w14:textId="77777777" w:rsidR="000314BD" w:rsidRPr="0073269D" w:rsidRDefault="000314BD">
      <w:pPr>
        <w:pStyle w:val="Corpsdetexte"/>
        <w:rPr>
          <w:b/>
          <w:lang w:val="fr-CH"/>
        </w:rPr>
      </w:pPr>
    </w:p>
    <w:p w14:paraId="06285187" w14:textId="77777777" w:rsidR="000314BD" w:rsidRPr="0073269D" w:rsidRDefault="000314BD">
      <w:pPr>
        <w:pStyle w:val="Corpsdetexte"/>
        <w:spacing w:before="7"/>
        <w:rPr>
          <w:b/>
          <w:sz w:val="31"/>
          <w:lang w:val="fr-CH"/>
        </w:rPr>
      </w:pPr>
    </w:p>
    <w:p w14:paraId="53CC6D5A" w14:textId="77777777" w:rsidR="000314BD" w:rsidRPr="0073269D" w:rsidRDefault="006120F0">
      <w:pPr>
        <w:pStyle w:val="Paragraphedeliste"/>
        <w:numPr>
          <w:ilvl w:val="0"/>
          <w:numId w:val="2"/>
        </w:numPr>
        <w:tabs>
          <w:tab w:val="left" w:pos="1608"/>
        </w:tabs>
        <w:ind w:right="128"/>
        <w:jc w:val="both"/>
        <w:rPr>
          <w:lang w:val="fr-CH"/>
        </w:rPr>
      </w:pPr>
      <w:r w:rsidRPr="0073269D">
        <w:rPr>
          <w:lang w:val="fr-CH"/>
        </w:rPr>
        <w:t xml:space="preserve">La façon dont se calcule le montant des dépenses d’équipements communautaires prises en considération (article 5, alinéa 2, article 6, alinéa 2 et grille </w:t>
      </w:r>
      <w:proofErr w:type="gramStart"/>
      <w:r w:rsidRPr="0073269D">
        <w:rPr>
          <w:lang w:val="fr-CH"/>
        </w:rPr>
        <w:t>tarifaire  annexée</w:t>
      </w:r>
      <w:proofErr w:type="gramEnd"/>
      <w:r w:rsidRPr="0073269D">
        <w:rPr>
          <w:lang w:val="fr-CH"/>
        </w:rPr>
        <w:t xml:space="preserve"> au règlement type). L’approche retenue par le règlement type consiste à déterminer le coût estimé des équipements communautaires qui devront </w:t>
      </w:r>
      <w:proofErr w:type="gramStart"/>
      <w:r w:rsidRPr="0073269D">
        <w:rPr>
          <w:lang w:val="fr-CH"/>
        </w:rPr>
        <w:t>être  réalisés</w:t>
      </w:r>
      <w:proofErr w:type="gramEnd"/>
      <w:r w:rsidRPr="0073269D">
        <w:rPr>
          <w:lang w:val="fr-CH"/>
        </w:rPr>
        <w:t xml:space="preserve"> lorsque des surfaces constructibles nouvelles sont légalisées sur la base de données statistiques (par exemple : taux de la population scolarisée, taux de la population recourant à l’accueil collectif de jour pré et parascolaire, coût moyen par élève des équipements scolaires, respectivement parascolaires, etc). Il appartiendra aux communes de réunir ces données en procédant aux études nécessaires. Elles peuvent aussi envisager des adaptations des formules de calcul suggérées, pour mieux tenir compte de leurs particularités. Enfin, les communes qui souhaiteraient financer par l’intermédiaire de la taxe des dépenses liées à d’autres types d’équipements communautaires que ceux mentionnés par le règlement type devront compléter ce document (articles 5 et 6) par des dispositions expliquant les méthodes de calcul</w:t>
      </w:r>
      <w:r w:rsidRPr="0073269D">
        <w:rPr>
          <w:spacing w:val="-1"/>
          <w:lang w:val="fr-CH"/>
        </w:rPr>
        <w:t xml:space="preserve"> </w:t>
      </w:r>
      <w:r w:rsidRPr="0073269D">
        <w:rPr>
          <w:lang w:val="fr-CH"/>
        </w:rPr>
        <w:t>retenues.</w:t>
      </w:r>
    </w:p>
    <w:p w14:paraId="648BF035" w14:textId="77777777" w:rsidR="000314BD" w:rsidRPr="0073269D" w:rsidRDefault="000314BD">
      <w:pPr>
        <w:pStyle w:val="Corpsdetexte"/>
        <w:rPr>
          <w:sz w:val="20"/>
          <w:lang w:val="fr-CH"/>
        </w:rPr>
      </w:pPr>
    </w:p>
    <w:p w14:paraId="678B0B46" w14:textId="77777777" w:rsidR="000314BD" w:rsidRPr="0073269D" w:rsidRDefault="000314BD">
      <w:pPr>
        <w:pStyle w:val="Corpsdetexte"/>
        <w:spacing w:before="4"/>
        <w:rPr>
          <w:lang w:val="fr-CH"/>
        </w:rPr>
      </w:pPr>
    </w:p>
    <w:p w14:paraId="5C3C7D74" w14:textId="77777777" w:rsidR="000314BD" w:rsidRPr="0073269D" w:rsidRDefault="006120F0">
      <w:pPr>
        <w:ind w:left="1266"/>
        <w:jc w:val="both"/>
        <w:rPr>
          <w:i/>
          <w:lang w:val="fr-CH"/>
        </w:rPr>
      </w:pPr>
      <w:r w:rsidRPr="0073269D">
        <w:rPr>
          <w:i/>
          <w:lang w:val="fr-CH"/>
        </w:rPr>
        <w:t>Structure en deux niveaux : Règlement communal et grille tarifaire annexée</w:t>
      </w:r>
    </w:p>
    <w:p w14:paraId="17A5C31B" w14:textId="77777777" w:rsidR="000314BD" w:rsidRPr="0073269D" w:rsidRDefault="000314BD">
      <w:pPr>
        <w:pStyle w:val="Corpsdetexte"/>
        <w:spacing w:before="8"/>
        <w:rPr>
          <w:i/>
          <w:sz w:val="21"/>
          <w:lang w:val="fr-CH"/>
        </w:rPr>
      </w:pPr>
    </w:p>
    <w:p w14:paraId="4D3A8EDE" w14:textId="77777777" w:rsidR="000314BD" w:rsidRPr="0073269D" w:rsidRDefault="006120F0">
      <w:pPr>
        <w:pStyle w:val="Corpsdetexte"/>
        <w:ind w:left="1266" w:right="130"/>
        <w:jc w:val="both"/>
        <w:rPr>
          <w:lang w:val="fr-CH"/>
        </w:rPr>
      </w:pPr>
      <w:r w:rsidRPr="0073269D">
        <w:rPr>
          <w:lang w:val="fr-CH"/>
        </w:rPr>
        <w:t>Afin que les communes puissent actualiser régulièrement et simplement les chiffres retenus pour déterminer le taux de la taxe sur l’équipement communautaire, sans devoir se livrer systématiquement à une révision du règlement communal, le modèle retenu fait figurer dans le règlement adopté par le conseil communal ou général les principes essentiels de la taxation en chargeant la municipalité de déterminer, dans une annexe  (« grille tarifaire »), les valeurs exactes applicables durant chaque exercice</w:t>
      </w:r>
      <w:r w:rsidRPr="0073269D">
        <w:rPr>
          <w:spacing w:val="-8"/>
          <w:lang w:val="fr-CH"/>
        </w:rPr>
        <w:t xml:space="preserve"> </w:t>
      </w:r>
      <w:r w:rsidRPr="0073269D">
        <w:rPr>
          <w:lang w:val="fr-CH"/>
        </w:rPr>
        <w:t>annuel.</w:t>
      </w:r>
    </w:p>
    <w:p w14:paraId="5A87ACFE" w14:textId="77777777" w:rsidR="000314BD" w:rsidRPr="0073269D" w:rsidRDefault="000314BD">
      <w:pPr>
        <w:pStyle w:val="Corpsdetexte"/>
        <w:spacing w:before="5"/>
        <w:rPr>
          <w:sz w:val="21"/>
          <w:lang w:val="fr-CH"/>
        </w:rPr>
      </w:pPr>
    </w:p>
    <w:p w14:paraId="22047E04" w14:textId="77777777" w:rsidR="000314BD" w:rsidRPr="0073269D" w:rsidRDefault="006120F0">
      <w:pPr>
        <w:pStyle w:val="Corpsdetexte"/>
        <w:ind w:left="1266" w:right="130"/>
        <w:jc w:val="both"/>
        <w:rPr>
          <w:lang w:val="fr-CH"/>
        </w:rPr>
      </w:pPr>
      <w:r w:rsidRPr="0073269D">
        <w:rPr>
          <w:lang w:val="fr-CH"/>
        </w:rPr>
        <w:t>Pour garantir le respect du principe de légalité, le montant initial du taux de taxation (en CHF par m</w:t>
      </w:r>
      <w:r w:rsidRPr="0073269D">
        <w:rPr>
          <w:vertAlign w:val="superscript"/>
          <w:lang w:val="fr-CH"/>
        </w:rPr>
        <w:t>2</w:t>
      </w:r>
      <w:r w:rsidRPr="0073269D">
        <w:rPr>
          <w:lang w:val="fr-CH"/>
        </w:rPr>
        <w:t>) sera néanmoins fixé par le règlement communal (article 5, alinéa 2 et article 6, alinéa 2) et l’adaptation dudit montant par la municipalité au travers d’une révision de la grille tarifaire ne sera autorisée que tant qu’il n’en résulte pas un accroissement de plus de 10</w:t>
      </w:r>
      <w:r w:rsidRPr="0073269D">
        <w:rPr>
          <w:spacing w:val="-1"/>
          <w:lang w:val="fr-CH"/>
        </w:rPr>
        <w:t xml:space="preserve"> </w:t>
      </w:r>
      <w:r w:rsidRPr="0073269D">
        <w:rPr>
          <w:lang w:val="fr-CH"/>
        </w:rPr>
        <w:t>%.</w:t>
      </w:r>
    </w:p>
    <w:p w14:paraId="21632EF4" w14:textId="77777777" w:rsidR="000314BD" w:rsidRPr="0073269D" w:rsidRDefault="000314BD">
      <w:pPr>
        <w:pStyle w:val="Corpsdetexte"/>
        <w:rPr>
          <w:sz w:val="24"/>
          <w:lang w:val="fr-CH"/>
        </w:rPr>
      </w:pPr>
    </w:p>
    <w:p w14:paraId="750D15C3" w14:textId="77777777" w:rsidR="000314BD" w:rsidRPr="0073269D" w:rsidRDefault="000314BD">
      <w:pPr>
        <w:pStyle w:val="Corpsdetexte"/>
        <w:spacing w:before="5"/>
        <w:rPr>
          <w:sz w:val="19"/>
          <w:lang w:val="fr-CH"/>
        </w:rPr>
      </w:pPr>
    </w:p>
    <w:p w14:paraId="1208D2DA" w14:textId="77777777" w:rsidR="000314BD" w:rsidRDefault="006120F0">
      <w:pPr>
        <w:pStyle w:val="Corpsdetexte"/>
        <w:ind w:left="4992" w:right="3857"/>
        <w:jc w:val="center"/>
      </w:pPr>
      <w:r>
        <w:t xml:space="preserve">*   *   *   * </w:t>
      </w:r>
      <w:r>
        <w:rPr>
          <w:spacing w:val="60"/>
        </w:rPr>
        <w:t xml:space="preserve"> </w:t>
      </w:r>
      <w:r>
        <w:t>*</w:t>
      </w:r>
    </w:p>
    <w:p w14:paraId="778DB628" w14:textId="77777777" w:rsidR="000314BD" w:rsidRDefault="000314BD">
      <w:pPr>
        <w:pStyle w:val="Corpsdetexte"/>
        <w:rPr>
          <w:sz w:val="24"/>
        </w:rPr>
      </w:pPr>
    </w:p>
    <w:p w14:paraId="129208E1" w14:textId="77777777" w:rsidR="000314BD" w:rsidRDefault="000314BD">
      <w:pPr>
        <w:pStyle w:val="Corpsdetexte"/>
        <w:spacing w:before="8"/>
        <w:rPr>
          <w:sz w:val="19"/>
        </w:rPr>
      </w:pPr>
    </w:p>
    <w:p w14:paraId="076B6C65" w14:textId="77777777" w:rsidR="000314BD" w:rsidRPr="0073269D" w:rsidRDefault="004B61B0">
      <w:pPr>
        <w:pStyle w:val="Corpsdetexte"/>
        <w:ind w:left="1266" w:right="130"/>
        <w:jc w:val="both"/>
        <w:rPr>
          <w:lang w:val="fr-CH"/>
        </w:rPr>
      </w:pPr>
      <w:r w:rsidRPr="0073269D">
        <w:rPr>
          <w:lang w:val="fr-CH"/>
        </w:rPr>
        <w:t>La Direction des affaires communales et droits politiques</w:t>
      </w:r>
      <w:r w:rsidR="006120F0" w:rsidRPr="0073269D">
        <w:rPr>
          <w:lang w:val="fr-CH"/>
        </w:rPr>
        <w:t xml:space="preserve"> se tient à disposition des communes pour toute question en lien avec l’adoption de ces règlements.</w:t>
      </w:r>
    </w:p>
    <w:p w14:paraId="3F2A0B33" w14:textId="77777777" w:rsidR="000314BD" w:rsidRPr="0073269D" w:rsidRDefault="000314BD">
      <w:pPr>
        <w:pStyle w:val="Corpsdetexte"/>
        <w:rPr>
          <w:sz w:val="24"/>
          <w:lang w:val="fr-CH"/>
        </w:rPr>
      </w:pPr>
    </w:p>
    <w:p w14:paraId="4AFC7952" w14:textId="77777777" w:rsidR="000314BD" w:rsidRPr="0073269D" w:rsidRDefault="000314BD">
      <w:pPr>
        <w:pStyle w:val="Corpsdetexte"/>
        <w:rPr>
          <w:sz w:val="24"/>
          <w:lang w:val="fr-CH"/>
        </w:rPr>
      </w:pPr>
    </w:p>
    <w:p w14:paraId="52C717CE" w14:textId="77777777" w:rsidR="000314BD" w:rsidRPr="0073269D" w:rsidRDefault="000314BD">
      <w:pPr>
        <w:pStyle w:val="Corpsdetexte"/>
        <w:rPr>
          <w:sz w:val="24"/>
          <w:lang w:val="fr-CH"/>
        </w:rPr>
      </w:pPr>
    </w:p>
    <w:p w14:paraId="3AE90B95" w14:textId="77777777" w:rsidR="000314BD" w:rsidRPr="0073269D" w:rsidRDefault="000314BD">
      <w:pPr>
        <w:pStyle w:val="Corpsdetexte"/>
        <w:rPr>
          <w:sz w:val="24"/>
          <w:lang w:val="fr-CH"/>
        </w:rPr>
      </w:pPr>
    </w:p>
    <w:p w14:paraId="196E337D" w14:textId="77777777" w:rsidR="000314BD" w:rsidRDefault="006120F0">
      <w:pPr>
        <w:spacing w:before="154" w:line="252" w:lineRule="exact"/>
        <w:ind w:left="1267"/>
        <w:rPr>
          <w:i/>
        </w:rPr>
      </w:pPr>
      <w:r>
        <w:rPr>
          <w:i/>
        </w:rPr>
        <w:t>Annexes :</w:t>
      </w:r>
    </w:p>
    <w:p w14:paraId="33BA0C84" w14:textId="77777777" w:rsidR="000314BD" w:rsidRDefault="006120F0">
      <w:pPr>
        <w:pStyle w:val="Paragraphedeliste"/>
        <w:numPr>
          <w:ilvl w:val="0"/>
          <w:numId w:val="1"/>
        </w:numPr>
        <w:tabs>
          <w:tab w:val="left" w:pos="1692"/>
          <w:tab w:val="left" w:pos="1693"/>
        </w:tabs>
        <w:spacing w:line="229" w:lineRule="exact"/>
        <w:rPr>
          <w:sz w:val="20"/>
        </w:rPr>
      </w:pPr>
      <w:r>
        <w:rPr>
          <w:sz w:val="20"/>
        </w:rPr>
        <w:t xml:space="preserve">Premier </w:t>
      </w:r>
      <w:proofErr w:type="spellStart"/>
      <w:r>
        <w:rPr>
          <w:sz w:val="20"/>
        </w:rPr>
        <w:t>règlement</w:t>
      </w:r>
      <w:proofErr w:type="spellEnd"/>
      <w:r>
        <w:rPr>
          <w:spacing w:val="-2"/>
          <w:sz w:val="20"/>
        </w:rPr>
        <w:t xml:space="preserve"> </w:t>
      </w:r>
      <w:r>
        <w:rPr>
          <w:sz w:val="20"/>
        </w:rPr>
        <w:t>type</w:t>
      </w:r>
    </w:p>
    <w:p w14:paraId="037EF016" w14:textId="77777777" w:rsidR="000314BD" w:rsidRDefault="006120F0">
      <w:pPr>
        <w:pStyle w:val="Paragraphedeliste"/>
        <w:numPr>
          <w:ilvl w:val="0"/>
          <w:numId w:val="1"/>
        </w:numPr>
        <w:tabs>
          <w:tab w:val="left" w:pos="1692"/>
          <w:tab w:val="left" w:pos="1693"/>
        </w:tabs>
        <w:spacing w:before="1"/>
        <w:rPr>
          <w:sz w:val="20"/>
        </w:rPr>
      </w:pPr>
      <w:r>
        <w:rPr>
          <w:sz w:val="20"/>
        </w:rPr>
        <w:t xml:space="preserve">Second (nouveau) </w:t>
      </w:r>
      <w:proofErr w:type="spellStart"/>
      <w:r>
        <w:rPr>
          <w:sz w:val="20"/>
        </w:rPr>
        <w:t>règlement</w:t>
      </w:r>
      <w:proofErr w:type="spellEnd"/>
      <w:r>
        <w:rPr>
          <w:spacing w:val="-3"/>
          <w:sz w:val="20"/>
        </w:rPr>
        <w:t xml:space="preserve"> </w:t>
      </w:r>
      <w:r>
        <w:rPr>
          <w:sz w:val="20"/>
        </w:rPr>
        <w:t>type</w:t>
      </w:r>
    </w:p>
    <w:p w14:paraId="37CD1E16" w14:textId="77777777" w:rsidR="000314BD" w:rsidRPr="0073269D" w:rsidRDefault="006120F0">
      <w:pPr>
        <w:pStyle w:val="Paragraphedeliste"/>
        <w:numPr>
          <w:ilvl w:val="0"/>
          <w:numId w:val="1"/>
        </w:numPr>
        <w:tabs>
          <w:tab w:val="left" w:pos="1692"/>
          <w:tab w:val="left" w:pos="1693"/>
        </w:tabs>
        <w:rPr>
          <w:sz w:val="20"/>
          <w:lang w:val="fr-CH"/>
        </w:rPr>
      </w:pPr>
      <w:r w:rsidRPr="0073269D">
        <w:rPr>
          <w:sz w:val="20"/>
          <w:lang w:val="fr-CH"/>
        </w:rPr>
        <w:t>Projet de grille tarifaire annexée au second règlement</w:t>
      </w:r>
      <w:r w:rsidRPr="0073269D">
        <w:rPr>
          <w:spacing w:val="-7"/>
          <w:sz w:val="20"/>
          <w:lang w:val="fr-CH"/>
        </w:rPr>
        <w:t xml:space="preserve"> </w:t>
      </w:r>
      <w:r w:rsidRPr="0073269D">
        <w:rPr>
          <w:sz w:val="20"/>
          <w:lang w:val="fr-CH"/>
        </w:rPr>
        <w:t>type</w:t>
      </w:r>
    </w:p>
    <w:sectPr w:rsidR="000314BD" w:rsidRPr="0073269D">
      <w:pgSz w:w="11910" w:h="16840"/>
      <w:pgMar w:top="500" w:right="1000" w:bottom="1580" w:left="860" w:header="0" w:footer="13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AF164" w14:textId="77777777" w:rsidR="006120F0" w:rsidRDefault="006120F0">
      <w:r>
        <w:separator/>
      </w:r>
    </w:p>
  </w:endnote>
  <w:endnote w:type="continuationSeparator" w:id="0">
    <w:p w14:paraId="1AF9EB7F" w14:textId="77777777" w:rsidR="006120F0" w:rsidRDefault="0061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E58D5" w14:textId="7AB96CCA" w:rsidR="004950EE" w:rsidRPr="0073269D" w:rsidRDefault="004950EE" w:rsidP="004950EE">
    <w:pPr>
      <w:pStyle w:val="Pieddepage"/>
      <w:rPr>
        <w:sz w:val="16"/>
        <w:szCs w:val="16"/>
        <w:lang w:val="fr-CH"/>
      </w:rPr>
    </w:pPr>
    <w:r w:rsidRPr="0073269D">
      <w:rPr>
        <w:spacing w:val="-6"/>
        <w:sz w:val="16"/>
        <w:szCs w:val="16"/>
        <w:lang w:val="fr-CH"/>
      </w:rPr>
      <w:t xml:space="preserve">Direction générale des affaires institutionnelles et des communes (DGAIC) </w:t>
    </w:r>
    <w:r w:rsidRPr="0073269D">
      <w:rPr>
        <w:sz w:val="16"/>
        <w:szCs w:val="16"/>
        <w:lang w:val="fr-CH"/>
      </w:rPr>
      <w:t>– Département des institutions</w:t>
    </w:r>
    <w:r w:rsidR="0073269D">
      <w:rPr>
        <w:sz w:val="16"/>
        <w:szCs w:val="16"/>
        <w:lang w:val="fr-CH"/>
      </w:rPr>
      <w:t xml:space="preserve">, </w:t>
    </w:r>
    <w:r w:rsidRPr="0073269D">
      <w:rPr>
        <w:sz w:val="16"/>
        <w:szCs w:val="16"/>
        <w:lang w:val="fr-CH"/>
      </w:rPr>
      <w:t>du territoire</w:t>
    </w:r>
    <w:r w:rsidR="0073269D">
      <w:rPr>
        <w:sz w:val="16"/>
        <w:szCs w:val="16"/>
        <w:lang w:val="fr-CH"/>
      </w:rPr>
      <w:t xml:space="preserve"> et du sport</w:t>
    </w:r>
  </w:p>
  <w:p w14:paraId="4042D439" w14:textId="77777777" w:rsidR="004950EE" w:rsidRPr="0073269D" w:rsidRDefault="004950EE" w:rsidP="004950EE">
    <w:pPr>
      <w:pStyle w:val="Pieddepage"/>
      <w:rPr>
        <w:lang w:val="fr-CH"/>
      </w:rPr>
    </w:pPr>
    <w:r>
      <w:rPr>
        <w:sz w:val="16"/>
        <w:szCs w:val="16"/>
        <w:lang w:val="de-CH"/>
      </w:rPr>
      <w:t xml:space="preserve">www.vd.ch/affaires-communales – T + 41 21 316 40 80 </w:t>
    </w:r>
    <w:r w:rsidRPr="00084B03">
      <w:rPr>
        <w:sz w:val="16"/>
        <w:szCs w:val="16"/>
        <w:lang w:val="de-CH"/>
      </w:rPr>
      <w:t xml:space="preserve">– </w:t>
    </w:r>
    <w:r>
      <w:rPr>
        <w:sz w:val="16"/>
        <w:szCs w:val="16"/>
        <w:lang w:val="de-CH"/>
      </w:rPr>
      <w:t>affaires-communales@vd.ch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BF805" w14:textId="52CCE889" w:rsidR="004950EE" w:rsidRPr="0073269D" w:rsidRDefault="004950EE" w:rsidP="004950EE">
    <w:pPr>
      <w:pStyle w:val="Pieddepage"/>
      <w:rPr>
        <w:sz w:val="16"/>
        <w:szCs w:val="16"/>
        <w:lang w:val="fr-CH"/>
      </w:rPr>
    </w:pPr>
    <w:r w:rsidRPr="0073269D">
      <w:rPr>
        <w:spacing w:val="-6"/>
        <w:sz w:val="16"/>
        <w:szCs w:val="16"/>
        <w:lang w:val="fr-CH"/>
      </w:rPr>
      <w:t xml:space="preserve">Direction générale des affaires institutionnelles et des communes (DGAIC) </w:t>
    </w:r>
    <w:r w:rsidRPr="0073269D">
      <w:rPr>
        <w:sz w:val="16"/>
        <w:szCs w:val="16"/>
        <w:lang w:val="fr-CH"/>
      </w:rPr>
      <w:t>– Département des institutions</w:t>
    </w:r>
    <w:r w:rsidR="0073269D">
      <w:rPr>
        <w:sz w:val="16"/>
        <w:szCs w:val="16"/>
        <w:lang w:val="fr-CH"/>
      </w:rPr>
      <w:t xml:space="preserve">, du </w:t>
    </w:r>
    <w:r w:rsidRPr="0073269D">
      <w:rPr>
        <w:sz w:val="16"/>
        <w:szCs w:val="16"/>
        <w:lang w:val="fr-CH"/>
      </w:rPr>
      <w:t>territoire</w:t>
    </w:r>
    <w:r w:rsidR="0073269D">
      <w:rPr>
        <w:sz w:val="16"/>
        <w:szCs w:val="16"/>
        <w:lang w:val="fr-CH"/>
      </w:rPr>
      <w:t xml:space="preserve"> et du sport</w:t>
    </w:r>
  </w:p>
  <w:p w14:paraId="45C6BA92" w14:textId="77777777" w:rsidR="004950EE" w:rsidRPr="0073269D" w:rsidRDefault="004950EE" w:rsidP="004950EE">
    <w:pPr>
      <w:pStyle w:val="Pieddepage"/>
      <w:rPr>
        <w:spacing w:val="-6"/>
        <w:sz w:val="16"/>
        <w:szCs w:val="16"/>
        <w:lang w:val="fr-CH"/>
      </w:rPr>
    </w:pPr>
    <w:r>
      <w:rPr>
        <w:sz w:val="16"/>
        <w:szCs w:val="16"/>
        <w:lang w:val="de-CH"/>
      </w:rPr>
      <w:t xml:space="preserve">www.vd.ch/affaires-communales – T + 41 21 316 40 80 </w:t>
    </w:r>
    <w:r w:rsidRPr="00084B03">
      <w:rPr>
        <w:sz w:val="16"/>
        <w:szCs w:val="16"/>
        <w:lang w:val="de-CH"/>
      </w:rPr>
      <w:t xml:space="preserve">– </w:t>
    </w:r>
    <w:r>
      <w:rPr>
        <w:sz w:val="16"/>
        <w:szCs w:val="16"/>
        <w:lang w:val="de-CH"/>
      </w:rPr>
      <w:t>affaires-communales@vd.ch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C7B21" w14:textId="77777777" w:rsidR="006120F0" w:rsidRDefault="006120F0">
      <w:r>
        <w:separator/>
      </w:r>
    </w:p>
  </w:footnote>
  <w:footnote w:type="continuationSeparator" w:id="0">
    <w:p w14:paraId="2D555A8D" w14:textId="77777777" w:rsidR="006120F0" w:rsidRDefault="00612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4E75"/>
    <w:multiLevelType w:val="hybridMultilevel"/>
    <w:tmpl w:val="606A4BF8"/>
    <w:lvl w:ilvl="0" w:tplc="D5D28388">
      <w:start w:val="1"/>
      <w:numFmt w:val="decimal"/>
      <w:lvlText w:val="%1."/>
      <w:lvlJc w:val="left"/>
      <w:pPr>
        <w:ind w:left="1607" w:hanging="284"/>
        <w:jc w:val="left"/>
      </w:pPr>
      <w:rPr>
        <w:rFonts w:ascii="Arial" w:eastAsia="Arial" w:hAnsi="Arial" w:cs="Arial" w:hint="default"/>
        <w:w w:val="99"/>
        <w:sz w:val="22"/>
        <w:szCs w:val="22"/>
      </w:rPr>
    </w:lvl>
    <w:lvl w:ilvl="1" w:tplc="789C58F4">
      <w:numFmt w:val="bullet"/>
      <w:lvlText w:val="•"/>
      <w:lvlJc w:val="left"/>
      <w:pPr>
        <w:ind w:left="2444" w:hanging="284"/>
      </w:pPr>
      <w:rPr>
        <w:rFonts w:hint="default"/>
      </w:rPr>
    </w:lvl>
    <w:lvl w:ilvl="2" w:tplc="D9763F4C">
      <w:numFmt w:val="bullet"/>
      <w:lvlText w:val="•"/>
      <w:lvlJc w:val="left"/>
      <w:pPr>
        <w:ind w:left="3288" w:hanging="284"/>
      </w:pPr>
      <w:rPr>
        <w:rFonts w:hint="default"/>
      </w:rPr>
    </w:lvl>
    <w:lvl w:ilvl="3" w:tplc="D97E7820">
      <w:numFmt w:val="bullet"/>
      <w:lvlText w:val="•"/>
      <w:lvlJc w:val="left"/>
      <w:pPr>
        <w:ind w:left="4133" w:hanging="284"/>
      </w:pPr>
      <w:rPr>
        <w:rFonts w:hint="default"/>
      </w:rPr>
    </w:lvl>
    <w:lvl w:ilvl="4" w:tplc="C4AED41E">
      <w:numFmt w:val="bullet"/>
      <w:lvlText w:val="•"/>
      <w:lvlJc w:val="left"/>
      <w:pPr>
        <w:ind w:left="4977" w:hanging="284"/>
      </w:pPr>
      <w:rPr>
        <w:rFonts w:hint="default"/>
      </w:rPr>
    </w:lvl>
    <w:lvl w:ilvl="5" w:tplc="36A6D15A">
      <w:numFmt w:val="bullet"/>
      <w:lvlText w:val="•"/>
      <w:lvlJc w:val="left"/>
      <w:pPr>
        <w:ind w:left="5822" w:hanging="284"/>
      </w:pPr>
      <w:rPr>
        <w:rFonts w:hint="default"/>
      </w:rPr>
    </w:lvl>
    <w:lvl w:ilvl="6" w:tplc="EEBA1D66">
      <w:numFmt w:val="bullet"/>
      <w:lvlText w:val="•"/>
      <w:lvlJc w:val="left"/>
      <w:pPr>
        <w:ind w:left="6666" w:hanging="284"/>
      </w:pPr>
      <w:rPr>
        <w:rFonts w:hint="default"/>
      </w:rPr>
    </w:lvl>
    <w:lvl w:ilvl="7" w:tplc="367CC5A2">
      <w:numFmt w:val="bullet"/>
      <w:lvlText w:val="•"/>
      <w:lvlJc w:val="left"/>
      <w:pPr>
        <w:ind w:left="7511" w:hanging="284"/>
      </w:pPr>
      <w:rPr>
        <w:rFonts w:hint="default"/>
      </w:rPr>
    </w:lvl>
    <w:lvl w:ilvl="8" w:tplc="5178E2B2">
      <w:numFmt w:val="bullet"/>
      <w:lvlText w:val="•"/>
      <w:lvlJc w:val="left"/>
      <w:pPr>
        <w:ind w:left="8355" w:hanging="284"/>
      </w:pPr>
      <w:rPr>
        <w:rFonts w:hint="default"/>
      </w:rPr>
    </w:lvl>
  </w:abstractNum>
  <w:abstractNum w:abstractNumId="1" w15:restartNumberingAfterBreak="0">
    <w:nsid w:val="2F8A0AB6"/>
    <w:multiLevelType w:val="hybridMultilevel"/>
    <w:tmpl w:val="33F6D47A"/>
    <w:lvl w:ilvl="0" w:tplc="FEB63940">
      <w:numFmt w:val="bullet"/>
      <w:lvlText w:val="-"/>
      <w:lvlJc w:val="left"/>
      <w:pPr>
        <w:ind w:left="1627" w:hanging="361"/>
      </w:pPr>
      <w:rPr>
        <w:rFonts w:ascii="Arial" w:eastAsia="Arial" w:hAnsi="Arial" w:cs="Arial" w:hint="default"/>
        <w:w w:val="99"/>
        <w:sz w:val="22"/>
        <w:szCs w:val="22"/>
      </w:rPr>
    </w:lvl>
    <w:lvl w:ilvl="1" w:tplc="CB46F58E">
      <w:numFmt w:val="bullet"/>
      <w:lvlText w:val="•"/>
      <w:lvlJc w:val="left"/>
      <w:pPr>
        <w:ind w:left="2462" w:hanging="361"/>
      </w:pPr>
      <w:rPr>
        <w:rFonts w:hint="default"/>
      </w:rPr>
    </w:lvl>
    <w:lvl w:ilvl="2" w:tplc="03088728">
      <w:numFmt w:val="bullet"/>
      <w:lvlText w:val="•"/>
      <w:lvlJc w:val="left"/>
      <w:pPr>
        <w:ind w:left="3304" w:hanging="361"/>
      </w:pPr>
      <w:rPr>
        <w:rFonts w:hint="default"/>
      </w:rPr>
    </w:lvl>
    <w:lvl w:ilvl="3" w:tplc="A68E0622">
      <w:numFmt w:val="bullet"/>
      <w:lvlText w:val="•"/>
      <w:lvlJc w:val="left"/>
      <w:pPr>
        <w:ind w:left="4147" w:hanging="361"/>
      </w:pPr>
      <w:rPr>
        <w:rFonts w:hint="default"/>
      </w:rPr>
    </w:lvl>
    <w:lvl w:ilvl="4" w:tplc="9F66913A">
      <w:numFmt w:val="bullet"/>
      <w:lvlText w:val="•"/>
      <w:lvlJc w:val="left"/>
      <w:pPr>
        <w:ind w:left="4989" w:hanging="361"/>
      </w:pPr>
      <w:rPr>
        <w:rFonts w:hint="default"/>
      </w:rPr>
    </w:lvl>
    <w:lvl w:ilvl="5" w:tplc="DD966346">
      <w:numFmt w:val="bullet"/>
      <w:lvlText w:val="•"/>
      <w:lvlJc w:val="left"/>
      <w:pPr>
        <w:ind w:left="5832" w:hanging="361"/>
      </w:pPr>
      <w:rPr>
        <w:rFonts w:hint="default"/>
      </w:rPr>
    </w:lvl>
    <w:lvl w:ilvl="6" w:tplc="F210F652">
      <w:numFmt w:val="bullet"/>
      <w:lvlText w:val="•"/>
      <w:lvlJc w:val="left"/>
      <w:pPr>
        <w:ind w:left="6674" w:hanging="361"/>
      </w:pPr>
      <w:rPr>
        <w:rFonts w:hint="default"/>
      </w:rPr>
    </w:lvl>
    <w:lvl w:ilvl="7" w:tplc="4712ED4E">
      <w:numFmt w:val="bullet"/>
      <w:lvlText w:val="•"/>
      <w:lvlJc w:val="left"/>
      <w:pPr>
        <w:ind w:left="7517" w:hanging="361"/>
      </w:pPr>
      <w:rPr>
        <w:rFonts w:hint="default"/>
      </w:rPr>
    </w:lvl>
    <w:lvl w:ilvl="8" w:tplc="5EA40E5A">
      <w:numFmt w:val="bullet"/>
      <w:lvlText w:val="•"/>
      <w:lvlJc w:val="left"/>
      <w:pPr>
        <w:ind w:left="8359" w:hanging="361"/>
      </w:pPr>
      <w:rPr>
        <w:rFonts w:hint="default"/>
      </w:rPr>
    </w:lvl>
  </w:abstractNum>
  <w:abstractNum w:abstractNumId="2" w15:restartNumberingAfterBreak="0">
    <w:nsid w:val="49B3133D"/>
    <w:multiLevelType w:val="hybridMultilevel"/>
    <w:tmpl w:val="8FE0055A"/>
    <w:lvl w:ilvl="0" w:tplc="9B92AA54">
      <w:start w:val="1"/>
      <w:numFmt w:val="decimal"/>
      <w:lvlText w:val="%1."/>
      <w:lvlJc w:val="left"/>
      <w:pPr>
        <w:ind w:left="1692" w:hanging="426"/>
        <w:jc w:val="left"/>
      </w:pPr>
      <w:rPr>
        <w:rFonts w:ascii="Arial" w:eastAsia="Arial" w:hAnsi="Arial" w:cs="Arial" w:hint="default"/>
        <w:w w:val="100"/>
        <w:sz w:val="20"/>
        <w:szCs w:val="20"/>
      </w:rPr>
    </w:lvl>
    <w:lvl w:ilvl="1" w:tplc="EE84EB98">
      <w:numFmt w:val="bullet"/>
      <w:lvlText w:val="•"/>
      <w:lvlJc w:val="left"/>
      <w:pPr>
        <w:ind w:left="2534" w:hanging="426"/>
      </w:pPr>
      <w:rPr>
        <w:rFonts w:hint="default"/>
      </w:rPr>
    </w:lvl>
    <w:lvl w:ilvl="2" w:tplc="AF422D04">
      <w:numFmt w:val="bullet"/>
      <w:lvlText w:val="•"/>
      <w:lvlJc w:val="left"/>
      <w:pPr>
        <w:ind w:left="3368" w:hanging="426"/>
      </w:pPr>
      <w:rPr>
        <w:rFonts w:hint="default"/>
      </w:rPr>
    </w:lvl>
    <w:lvl w:ilvl="3" w:tplc="7A8CC5A0">
      <w:numFmt w:val="bullet"/>
      <w:lvlText w:val="•"/>
      <w:lvlJc w:val="left"/>
      <w:pPr>
        <w:ind w:left="4203" w:hanging="426"/>
      </w:pPr>
      <w:rPr>
        <w:rFonts w:hint="default"/>
      </w:rPr>
    </w:lvl>
    <w:lvl w:ilvl="4" w:tplc="2DF46C60">
      <w:numFmt w:val="bullet"/>
      <w:lvlText w:val="•"/>
      <w:lvlJc w:val="left"/>
      <w:pPr>
        <w:ind w:left="5037" w:hanging="426"/>
      </w:pPr>
      <w:rPr>
        <w:rFonts w:hint="default"/>
      </w:rPr>
    </w:lvl>
    <w:lvl w:ilvl="5" w:tplc="0204C7D0">
      <w:numFmt w:val="bullet"/>
      <w:lvlText w:val="•"/>
      <w:lvlJc w:val="left"/>
      <w:pPr>
        <w:ind w:left="5872" w:hanging="426"/>
      </w:pPr>
      <w:rPr>
        <w:rFonts w:hint="default"/>
      </w:rPr>
    </w:lvl>
    <w:lvl w:ilvl="6" w:tplc="F766BE7A">
      <w:numFmt w:val="bullet"/>
      <w:lvlText w:val="•"/>
      <w:lvlJc w:val="left"/>
      <w:pPr>
        <w:ind w:left="6706" w:hanging="426"/>
      </w:pPr>
      <w:rPr>
        <w:rFonts w:hint="default"/>
      </w:rPr>
    </w:lvl>
    <w:lvl w:ilvl="7" w:tplc="05ACEC16">
      <w:numFmt w:val="bullet"/>
      <w:lvlText w:val="•"/>
      <w:lvlJc w:val="left"/>
      <w:pPr>
        <w:ind w:left="7541" w:hanging="426"/>
      </w:pPr>
      <w:rPr>
        <w:rFonts w:hint="default"/>
      </w:rPr>
    </w:lvl>
    <w:lvl w:ilvl="8" w:tplc="8F6CAE74">
      <w:numFmt w:val="bullet"/>
      <w:lvlText w:val="•"/>
      <w:lvlJc w:val="left"/>
      <w:pPr>
        <w:ind w:left="8375" w:hanging="426"/>
      </w:pPr>
      <w:rPr>
        <w:rFonts w:hint="default"/>
      </w:rPr>
    </w:lvl>
  </w:abstractNum>
  <w:abstractNum w:abstractNumId="3" w15:restartNumberingAfterBreak="0">
    <w:nsid w:val="67101B3F"/>
    <w:multiLevelType w:val="hybridMultilevel"/>
    <w:tmpl w:val="00D8AFAA"/>
    <w:lvl w:ilvl="0" w:tplc="7AA6BD40">
      <w:start w:val="1"/>
      <w:numFmt w:val="decimal"/>
      <w:lvlText w:val="%1."/>
      <w:lvlJc w:val="left"/>
      <w:pPr>
        <w:ind w:left="1692" w:hanging="426"/>
        <w:jc w:val="left"/>
      </w:pPr>
      <w:rPr>
        <w:rFonts w:ascii="Arial" w:eastAsia="Arial" w:hAnsi="Arial" w:cs="Arial" w:hint="default"/>
        <w:b/>
        <w:bCs/>
        <w:w w:val="99"/>
        <w:sz w:val="22"/>
        <w:szCs w:val="22"/>
      </w:rPr>
    </w:lvl>
    <w:lvl w:ilvl="1" w:tplc="EC984102">
      <w:numFmt w:val="bullet"/>
      <w:lvlText w:val="•"/>
      <w:lvlJc w:val="left"/>
      <w:pPr>
        <w:ind w:left="2534" w:hanging="426"/>
      </w:pPr>
      <w:rPr>
        <w:rFonts w:hint="default"/>
      </w:rPr>
    </w:lvl>
    <w:lvl w:ilvl="2" w:tplc="62ACDB6E">
      <w:numFmt w:val="bullet"/>
      <w:lvlText w:val="•"/>
      <w:lvlJc w:val="left"/>
      <w:pPr>
        <w:ind w:left="3368" w:hanging="426"/>
      </w:pPr>
      <w:rPr>
        <w:rFonts w:hint="default"/>
      </w:rPr>
    </w:lvl>
    <w:lvl w:ilvl="3" w:tplc="B02885E6">
      <w:numFmt w:val="bullet"/>
      <w:lvlText w:val="•"/>
      <w:lvlJc w:val="left"/>
      <w:pPr>
        <w:ind w:left="4203" w:hanging="426"/>
      </w:pPr>
      <w:rPr>
        <w:rFonts w:hint="default"/>
      </w:rPr>
    </w:lvl>
    <w:lvl w:ilvl="4" w:tplc="73642716">
      <w:numFmt w:val="bullet"/>
      <w:lvlText w:val="•"/>
      <w:lvlJc w:val="left"/>
      <w:pPr>
        <w:ind w:left="5037" w:hanging="426"/>
      </w:pPr>
      <w:rPr>
        <w:rFonts w:hint="default"/>
      </w:rPr>
    </w:lvl>
    <w:lvl w:ilvl="5" w:tplc="DE16B1B8">
      <w:numFmt w:val="bullet"/>
      <w:lvlText w:val="•"/>
      <w:lvlJc w:val="left"/>
      <w:pPr>
        <w:ind w:left="5872" w:hanging="426"/>
      </w:pPr>
      <w:rPr>
        <w:rFonts w:hint="default"/>
      </w:rPr>
    </w:lvl>
    <w:lvl w:ilvl="6" w:tplc="8348D254">
      <w:numFmt w:val="bullet"/>
      <w:lvlText w:val="•"/>
      <w:lvlJc w:val="left"/>
      <w:pPr>
        <w:ind w:left="6706" w:hanging="426"/>
      </w:pPr>
      <w:rPr>
        <w:rFonts w:hint="default"/>
      </w:rPr>
    </w:lvl>
    <w:lvl w:ilvl="7" w:tplc="74F0A6DC">
      <w:numFmt w:val="bullet"/>
      <w:lvlText w:val="•"/>
      <w:lvlJc w:val="left"/>
      <w:pPr>
        <w:ind w:left="7541" w:hanging="426"/>
      </w:pPr>
      <w:rPr>
        <w:rFonts w:hint="default"/>
      </w:rPr>
    </w:lvl>
    <w:lvl w:ilvl="8" w:tplc="B548176A">
      <w:numFmt w:val="bullet"/>
      <w:lvlText w:val="•"/>
      <w:lvlJc w:val="left"/>
      <w:pPr>
        <w:ind w:left="8375" w:hanging="426"/>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BD"/>
    <w:rsid w:val="000314BD"/>
    <w:rsid w:val="004950EE"/>
    <w:rsid w:val="004B61B0"/>
    <w:rsid w:val="006120F0"/>
    <w:rsid w:val="0073269D"/>
    <w:rsid w:val="00DB6E8F"/>
    <w:rsid w:val="00F349F4"/>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CA0DC3"/>
  <w15:docId w15:val="{DB31733B-25E1-4EBF-BE8D-44C69400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1692" w:hanging="427"/>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692" w:hanging="427"/>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4950EE"/>
    <w:rPr>
      <w:rFonts w:ascii="Tahoma" w:hAnsi="Tahoma" w:cs="Tahoma"/>
      <w:sz w:val="16"/>
      <w:szCs w:val="16"/>
    </w:rPr>
  </w:style>
  <w:style w:type="character" w:customStyle="1" w:styleId="TextedebullesCar">
    <w:name w:val="Texte de bulles Car"/>
    <w:basedOn w:val="Policepardfaut"/>
    <w:link w:val="Textedebulles"/>
    <w:uiPriority w:val="99"/>
    <w:semiHidden/>
    <w:rsid w:val="004950EE"/>
    <w:rPr>
      <w:rFonts w:ascii="Tahoma" w:eastAsia="Arial" w:hAnsi="Tahoma" w:cs="Tahoma"/>
      <w:sz w:val="16"/>
      <w:szCs w:val="16"/>
    </w:rPr>
  </w:style>
  <w:style w:type="paragraph" w:styleId="En-tte">
    <w:name w:val="header"/>
    <w:basedOn w:val="Normal"/>
    <w:link w:val="En-tteCar"/>
    <w:uiPriority w:val="99"/>
    <w:unhideWhenUsed/>
    <w:rsid w:val="004950EE"/>
    <w:pPr>
      <w:tabs>
        <w:tab w:val="center" w:pos="4536"/>
        <w:tab w:val="right" w:pos="9072"/>
      </w:tabs>
    </w:pPr>
  </w:style>
  <w:style w:type="character" w:customStyle="1" w:styleId="En-tteCar">
    <w:name w:val="En-tête Car"/>
    <w:basedOn w:val="Policepardfaut"/>
    <w:link w:val="En-tte"/>
    <w:uiPriority w:val="99"/>
    <w:rsid w:val="004950EE"/>
    <w:rPr>
      <w:rFonts w:ascii="Arial" w:eastAsia="Arial" w:hAnsi="Arial" w:cs="Arial"/>
    </w:rPr>
  </w:style>
  <w:style w:type="paragraph" w:styleId="Pieddepage">
    <w:name w:val="footer"/>
    <w:basedOn w:val="Normal"/>
    <w:link w:val="PieddepageCar"/>
    <w:unhideWhenUsed/>
    <w:rsid w:val="004950EE"/>
    <w:pPr>
      <w:tabs>
        <w:tab w:val="center" w:pos="4536"/>
        <w:tab w:val="right" w:pos="9072"/>
      </w:tabs>
    </w:pPr>
  </w:style>
  <w:style w:type="character" w:customStyle="1" w:styleId="PieddepageCar">
    <w:name w:val="Pied de page Car"/>
    <w:basedOn w:val="Policepardfaut"/>
    <w:link w:val="Pieddepage"/>
    <w:uiPriority w:val="99"/>
    <w:rsid w:val="004950E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1803</Words>
  <Characters>9920</Characters>
  <Application>Microsoft Office Word</Application>
  <DocSecurity>4</DocSecurity>
  <Lines>82</Lines>
  <Paragraphs>23</Paragraphs>
  <ScaleCrop>false</ScaleCrop>
  <HeadingPairs>
    <vt:vector size="2" baseType="variant">
      <vt:variant>
        <vt:lpstr>Titre</vt:lpstr>
      </vt:variant>
      <vt:variant>
        <vt:i4>1</vt:i4>
      </vt:variant>
    </vt:vector>
  </HeadingPairs>
  <TitlesOfParts>
    <vt:vector size="1" baseType="lpstr">
      <vt:lpstr>Microsoft Word - 4.6.2013_Note taxe équipement communautaire_comm</vt:lpstr>
    </vt:vector>
  </TitlesOfParts>
  <Company>Etat de Vaud</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- 4.6.2013_Note taxe équipement communautaire_comm</dc:title>
  <dc:creator>zeviv9</dc:creator>
  <cp:lastModifiedBy>Grandjean Sarah Dominique</cp:lastModifiedBy>
  <cp:revision>2</cp:revision>
  <dcterms:created xsi:type="dcterms:W3CDTF">2022-07-07T11:36:00Z</dcterms:created>
  <dcterms:modified xsi:type="dcterms:W3CDTF">2022-07-07T11:36:00Z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2013-06-06T00:00:00Z</vt:filetime>
  </property>
  <property fmtid="{D5CDD505-2E9C-101B-9397-08002B2CF9AE}" pid="3" name="Creator">
    <vt:lpwstr>PScript5.dll Version 5.2.2</vt:lpwstr>
  </property>
  <property fmtid="{D5CDD505-2E9C-101B-9397-08002B2CF9AE}" pid="4" name="LastSaved">
    <vt:filetime>2020-08-28T00:00:00Z</vt:filetime>
  </property>
</Properties>
</file>