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70" w:type="dxa"/>
          <w:right w:w="70" w:type="dxa"/>
        </w:tblCellMar>
        <w:tblLook w:val="0000" w:firstRow="0" w:lastRow="0" w:firstColumn="0" w:lastColumn="0" w:noHBand="0" w:noVBand="0"/>
      </w:tblPr>
      <w:tblGrid>
        <w:gridCol w:w="1418"/>
        <w:gridCol w:w="2410"/>
        <w:gridCol w:w="1701"/>
        <w:gridCol w:w="4394"/>
      </w:tblGrid>
      <w:tr w:rsidR="00750D33" w:rsidTr="001603B4">
        <w:trPr>
          <w:trHeight w:val="1985"/>
        </w:trPr>
        <w:tc>
          <w:tcPr>
            <w:tcW w:w="1418" w:type="dxa"/>
            <w:vMerge w:val="restart"/>
          </w:tcPr>
          <w:p w:rsidR="00750D33" w:rsidRDefault="00A045B9" w:rsidP="001603B4">
            <w:pPr>
              <w:jc w:val="center"/>
            </w:pPr>
            <w:r>
              <w:rPr>
                <w:noProof/>
                <w:lang w:val="fr-CH"/>
              </w:rPr>
              <w:drawing>
                <wp:inline distT="0" distB="0" distL="0" distR="0">
                  <wp:extent cx="771525" cy="1295400"/>
                  <wp:effectExtent l="19050" t="0" r="9525" b="0"/>
                  <wp:docPr id="1" name="Image 1" descr="vd_logo_rvb_36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rvb_36mm[1]"/>
                          <pic:cNvPicPr>
                            <a:picLocks noChangeAspect="1" noChangeArrowheads="1"/>
                          </pic:cNvPicPr>
                        </pic:nvPicPr>
                        <pic:blipFill>
                          <a:blip r:embed="rId8" cstate="print"/>
                          <a:srcRect/>
                          <a:stretch>
                            <a:fillRect/>
                          </a:stretch>
                        </pic:blipFill>
                        <pic:spPr bwMode="auto">
                          <a:xfrm>
                            <a:off x="0" y="0"/>
                            <a:ext cx="771525" cy="1295400"/>
                          </a:xfrm>
                          <a:prstGeom prst="rect">
                            <a:avLst/>
                          </a:prstGeom>
                          <a:noFill/>
                          <a:ln w="9525">
                            <a:noFill/>
                            <a:miter lim="800000"/>
                            <a:headEnd/>
                            <a:tailEnd/>
                          </a:ln>
                        </pic:spPr>
                      </pic:pic>
                    </a:graphicData>
                  </a:graphic>
                </wp:inline>
              </w:drawing>
            </w:r>
          </w:p>
        </w:tc>
        <w:tc>
          <w:tcPr>
            <w:tcW w:w="2410" w:type="dxa"/>
          </w:tcPr>
          <w:p w:rsidR="00750D33" w:rsidRPr="00233581" w:rsidRDefault="00750D33" w:rsidP="001603B4">
            <w:pPr>
              <w:rPr>
                <w:b/>
                <w:sz w:val="20"/>
              </w:rPr>
            </w:pPr>
            <w:r>
              <w:rPr>
                <w:b/>
                <w:sz w:val="20"/>
              </w:rPr>
              <w:t xml:space="preserve">Direction générale </w:t>
            </w:r>
            <w:r>
              <w:rPr>
                <w:b/>
                <w:sz w:val="20"/>
              </w:rPr>
              <w:br/>
              <w:t>de l’enseignement obligatoire</w:t>
            </w:r>
          </w:p>
          <w:p w:rsidR="00A915A9" w:rsidRDefault="001C796A" w:rsidP="00A915A9">
            <w:pPr>
              <w:spacing w:before="120"/>
              <w:rPr>
                <w:spacing w:val="-8"/>
                <w:sz w:val="20"/>
              </w:rPr>
            </w:pPr>
            <w:r>
              <w:rPr>
                <w:spacing w:val="-8"/>
                <w:sz w:val="20"/>
              </w:rPr>
              <w:t>Direction administration</w:t>
            </w:r>
            <w:r w:rsidR="00A915A9">
              <w:rPr>
                <w:spacing w:val="-8"/>
                <w:sz w:val="20"/>
              </w:rPr>
              <w:t xml:space="preserve"> </w:t>
            </w:r>
          </w:p>
          <w:p w:rsidR="00750D33" w:rsidRDefault="00A915A9" w:rsidP="00A915A9">
            <w:pPr>
              <w:rPr>
                <w:spacing w:val="-8"/>
                <w:sz w:val="20"/>
              </w:rPr>
            </w:pPr>
            <w:r>
              <w:rPr>
                <w:spacing w:val="-8"/>
                <w:sz w:val="20"/>
              </w:rPr>
              <w:t xml:space="preserve">et </w:t>
            </w:r>
            <w:r w:rsidR="001C796A">
              <w:rPr>
                <w:spacing w:val="-8"/>
                <w:sz w:val="20"/>
              </w:rPr>
              <w:t>finances</w:t>
            </w:r>
          </w:p>
          <w:p w:rsidR="00750D33" w:rsidRPr="005002D4" w:rsidRDefault="00750D33" w:rsidP="001603B4">
            <w:pPr>
              <w:rPr>
                <w:spacing w:val="-8"/>
                <w:sz w:val="20"/>
              </w:rPr>
            </w:pPr>
          </w:p>
          <w:p w:rsidR="00750D33" w:rsidRDefault="00750D33" w:rsidP="001603B4">
            <w:pPr>
              <w:rPr>
                <w:spacing w:val="-8"/>
                <w:sz w:val="20"/>
              </w:rPr>
            </w:pPr>
            <w:r>
              <w:rPr>
                <w:spacing w:val="-8"/>
                <w:sz w:val="20"/>
              </w:rPr>
              <w:t>Rue de la Barre 8</w:t>
            </w:r>
          </w:p>
          <w:p w:rsidR="00750D33" w:rsidRPr="00B4064D" w:rsidRDefault="00750D33" w:rsidP="001603B4">
            <w:pPr>
              <w:rPr>
                <w:spacing w:val="-8"/>
                <w:sz w:val="20"/>
              </w:rPr>
            </w:pPr>
            <w:r>
              <w:rPr>
                <w:spacing w:val="-8"/>
                <w:sz w:val="20"/>
              </w:rPr>
              <w:t>1014 Lausanne</w:t>
            </w:r>
          </w:p>
        </w:tc>
        <w:tc>
          <w:tcPr>
            <w:tcW w:w="1701" w:type="dxa"/>
          </w:tcPr>
          <w:p w:rsidR="00750D33" w:rsidRPr="00F2400C" w:rsidRDefault="00750D33" w:rsidP="001603B4">
            <w:pPr>
              <w:rPr>
                <w:sz w:val="20"/>
              </w:rPr>
            </w:pPr>
          </w:p>
        </w:tc>
        <w:tc>
          <w:tcPr>
            <w:tcW w:w="4394" w:type="dxa"/>
            <w:vMerge w:val="restart"/>
          </w:tcPr>
          <w:p w:rsidR="00750D33" w:rsidRDefault="00750D33" w:rsidP="001603B4">
            <w:pPr>
              <w:ind w:left="74"/>
              <w:rPr>
                <w:sz w:val="22"/>
              </w:rPr>
            </w:pPr>
          </w:p>
          <w:p w:rsidR="00750D33" w:rsidRDefault="00750D33" w:rsidP="001603B4">
            <w:pPr>
              <w:ind w:left="74"/>
              <w:rPr>
                <w:sz w:val="22"/>
              </w:rPr>
            </w:pPr>
          </w:p>
          <w:p w:rsidR="00750D33" w:rsidRDefault="00750D33" w:rsidP="001603B4">
            <w:pPr>
              <w:ind w:left="74"/>
              <w:rPr>
                <w:sz w:val="22"/>
              </w:rPr>
            </w:pPr>
          </w:p>
          <w:p w:rsidR="00750D33" w:rsidRDefault="00750D33" w:rsidP="001603B4">
            <w:pPr>
              <w:ind w:left="74"/>
              <w:rPr>
                <w:sz w:val="22"/>
              </w:rPr>
            </w:pPr>
          </w:p>
          <w:p w:rsidR="00750D33" w:rsidRDefault="00750D33" w:rsidP="001603B4">
            <w:pPr>
              <w:ind w:left="74"/>
              <w:rPr>
                <w:sz w:val="22"/>
              </w:rPr>
            </w:pPr>
          </w:p>
          <w:p w:rsidR="00750D33" w:rsidRDefault="00750D33" w:rsidP="00F3045E">
            <w:pPr>
              <w:ind w:left="72"/>
              <w:rPr>
                <w:sz w:val="22"/>
              </w:rPr>
            </w:pPr>
          </w:p>
          <w:p w:rsidR="00750D33" w:rsidRDefault="00750D33" w:rsidP="00F3045E">
            <w:pPr>
              <w:ind w:left="72"/>
              <w:rPr>
                <w:sz w:val="22"/>
              </w:rPr>
            </w:pPr>
          </w:p>
          <w:p w:rsidR="00750D33" w:rsidRPr="005C09B6" w:rsidRDefault="00750D33" w:rsidP="00A60847">
            <w:pPr>
              <w:ind w:left="72"/>
              <w:rPr>
                <w:sz w:val="22"/>
              </w:rPr>
            </w:pPr>
          </w:p>
        </w:tc>
      </w:tr>
      <w:tr w:rsidR="00750D33" w:rsidTr="001603B4">
        <w:trPr>
          <w:cantSplit/>
        </w:trPr>
        <w:tc>
          <w:tcPr>
            <w:tcW w:w="1418" w:type="dxa"/>
            <w:vMerge/>
          </w:tcPr>
          <w:p w:rsidR="00750D33" w:rsidRDefault="00750D33" w:rsidP="001603B4"/>
        </w:tc>
        <w:tc>
          <w:tcPr>
            <w:tcW w:w="4111" w:type="dxa"/>
            <w:gridSpan w:val="2"/>
          </w:tcPr>
          <w:p w:rsidR="00750D33" w:rsidRDefault="00750D33" w:rsidP="001603B4">
            <w:pPr>
              <w:ind w:left="72"/>
            </w:pPr>
          </w:p>
        </w:tc>
        <w:tc>
          <w:tcPr>
            <w:tcW w:w="4394" w:type="dxa"/>
            <w:vMerge/>
          </w:tcPr>
          <w:p w:rsidR="00750D33" w:rsidRDefault="00750D33" w:rsidP="001603B4">
            <w:pPr>
              <w:ind w:left="74"/>
              <w:rPr>
                <w:sz w:val="22"/>
              </w:rPr>
            </w:pPr>
          </w:p>
        </w:tc>
      </w:tr>
    </w:tbl>
    <w:p w:rsidR="00EB407B" w:rsidRDefault="00EB407B" w:rsidP="000805DD">
      <w:pPr>
        <w:ind w:left="993"/>
        <w:rPr>
          <w:sz w:val="22"/>
        </w:rPr>
      </w:pPr>
    </w:p>
    <w:p w:rsidR="00F91341" w:rsidRDefault="00F91341" w:rsidP="000805DD">
      <w:pPr>
        <w:ind w:left="993"/>
        <w:rPr>
          <w:sz w:val="22"/>
        </w:rPr>
      </w:pPr>
    </w:p>
    <w:p w:rsidR="006A75E6" w:rsidRDefault="006A75E6" w:rsidP="000805DD">
      <w:pPr>
        <w:ind w:left="993"/>
        <w:rPr>
          <w:sz w:val="22"/>
        </w:rPr>
      </w:pPr>
    </w:p>
    <w:p w:rsidR="00A60847" w:rsidRPr="00A60847" w:rsidRDefault="00A60847" w:rsidP="00A60847">
      <w:pPr>
        <w:jc w:val="center"/>
        <w:rPr>
          <w:rFonts w:cs="Arial"/>
          <w:b/>
          <w:bCs/>
          <w:szCs w:val="24"/>
          <w:lang w:eastAsia="fr-FR"/>
        </w:rPr>
      </w:pPr>
      <w:r w:rsidRPr="00A60847">
        <w:rPr>
          <w:rFonts w:cs="Arial"/>
          <w:b/>
          <w:bCs/>
          <w:szCs w:val="24"/>
          <w:lang w:eastAsia="fr-FR"/>
        </w:rPr>
        <w:t>Financement des tâches communales déléguées à l’administration cantonale des établissements scolaires pour l’année scolaire.</w:t>
      </w:r>
    </w:p>
    <w:p w:rsidR="00A60847" w:rsidRPr="00A60847" w:rsidRDefault="00A60847" w:rsidP="00A60847">
      <w:pPr>
        <w:jc w:val="center"/>
        <w:rPr>
          <w:b/>
          <w:sz w:val="44"/>
          <w:szCs w:val="44"/>
          <w:lang w:eastAsia="fr-FR"/>
        </w:rPr>
      </w:pPr>
    </w:p>
    <w:p w:rsidR="003A21EF" w:rsidRPr="00A60847" w:rsidRDefault="00A60847" w:rsidP="003A21EF">
      <w:pPr>
        <w:jc w:val="center"/>
        <w:rPr>
          <w:b/>
          <w:sz w:val="44"/>
          <w:szCs w:val="44"/>
          <w:lang w:eastAsia="fr-FR"/>
        </w:rPr>
      </w:pPr>
      <w:r w:rsidRPr="00A60847">
        <w:rPr>
          <w:b/>
          <w:sz w:val="44"/>
          <w:szCs w:val="44"/>
          <w:lang w:eastAsia="fr-FR"/>
        </w:rPr>
        <w:t>Mise à jour 20</w:t>
      </w:r>
      <w:r w:rsidR="004163F7">
        <w:rPr>
          <w:b/>
          <w:sz w:val="44"/>
          <w:szCs w:val="44"/>
          <w:lang w:eastAsia="fr-FR"/>
        </w:rPr>
        <w:t>20</w:t>
      </w:r>
    </w:p>
    <w:p w:rsidR="00A60847" w:rsidRPr="00A60847" w:rsidRDefault="00A60847" w:rsidP="00A60847">
      <w:pPr>
        <w:jc w:val="both"/>
        <w:rPr>
          <w:szCs w:val="24"/>
          <w:lang w:eastAsia="fr-FR"/>
        </w:rPr>
      </w:pPr>
    </w:p>
    <w:p w:rsidR="00A60847" w:rsidRPr="00A60847" w:rsidRDefault="00A60847" w:rsidP="00A60847">
      <w:pPr>
        <w:jc w:val="both"/>
        <w:rPr>
          <w:szCs w:val="24"/>
          <w:lang w:eastAsia="fr-FR"/>
        </w:rPr>
      </w:pPr>
    </w:p>
    <w:p w:rsidR="00A60847" w:rsidRPr="00A60847" w:rsidRDefault="00A60847" w:rsidP="00A60847">
      <w:pPr>
        <w:jc w:val="both"/>
        <w:rPr>
          <w:sz w:val="20"/>
          <w:lang w:eastAsia="fr-FR"/>
        </w:rPr>
      </w:pPr>
      <w:r w:rsidRPr="00A60847">
        <w:rPr>
          <w:sz w:val="20"/>
          <w:lang w:eastAsia="fr-FR"/>
        </w:rPr>
        <w:t>Deux catégories de tâches déléguées sont répertoriées. D’une part, les tâches de type « direction », assumées par un membre du conseil de direction de l’établissement (directeur ou doyen) et, d’autre part, les tâches de type « secrétariat » assumées par un membre du secrétariat.</w:t>
      </w:r>
    </w:p>
    <w:p w:rsidR="00A60847" w:rsidRPr="00A60847" w:rsidRDefault="00A60847" w:rsidP="00A60847">
      <w:pPr>
        <w:jc w:val="both"/>
        <w:rPr>
          <w:sz w:val="20"/>
          <w:lang w:eastAsia="fr-FR"/>
        </w:rPr>
      </w:pPr>
    </w:p>
    <w:p w:rsidR="00A60847" w:rsidRPr="00A60847" w:rsidRDefault="00A60847" w:rsidP="00A60847">
      <w:pPr>
        <w:jc w:val="both"/>
        <w:rPr>
          <w:sz w:val="20"/>
          <w:lang w:eastAsia="fr-FR"/>
        </w:rPr>
      </w:pPr>
      <w:r w:rsidRPr="00A60847">
        <w:rPr>
          <w:sz w:val="20"/>
          <w:lang w:eastAsia="fr-FR"/>
        </w:rPr>
        <w:t>Le coût des prestations déléguées est établi sur la base des salaires bruts moyens annuels de la catégorie de prestataires en relation avec la tâche déléguée. Ces coûts moyens sont calculés chaque année à partir des salaires effectifs versés en janvier. Il s’y ajoute un forfait pour les frais administratifs (dont communications téléphoniques, frais postaux, économat, amortissement du matériel informatique, etc) liés aux tâches accomplies.</w:t>
      </w:r>
    </w:p>
    <w:p w:rsidR="00A60847" w:rsidRPr="00A60847" w:rsidRDefault="00A60847" w:rsidP="00A60847">
      <w:pPr>
        <w:jc w:val="both"/>
        <w:rPr>
          <w:sz w:val="20"/>
          <w:lang w:eastAsia="fr-FR"/>
        </w:rPr>
      </w:pPr>
    </w:p>
    <w:p w:rsidR="00A60847" w:rsidRPr="00A60847" w:rsidRDefault="00A60847" w:rsidP="00A60847">
      <w:pPr>
        <w:jc w:val="both"/>
        <w:rPr>
          <w:sz w:val="20"/>
          <w:lang w:eastAsia="fr-FR"/>
        </w:rPr>
      </w:pPr>
      <w:r w:rsidRPr="00A60847">
        <w:rPr>
          <w:sz w:val="20"/>
          <w:lang w:eastAsia="fr-FR"/>
        </w:rPr>
        <w:t>La Direction générale de l’enseignement obligatoire facture à la commune boursière les montants dus conformément au mode de calcul décrit ci-après.</w:t>
      </w:r>
    </w:p>
    <w:p w:rsidR="00A60847" w:rsidRPr="00A60847" w:rsidRDefault="00A60847" w:rsidP="00A60847">
      <w:pPr>
        <w:jc w:val="both"/>
        <w:rPr>
          <w:sz w:val="20"/>
          <w:lang w:eastAsia="fr-FR"/>
        </w:rPr>
      </w:pPr>
    </w:p>
    <w:p w:rsidR="00A60847" w:rsidRPr="00A60847" w:rsidRDefault="00A60847" w:rsidP="00A60847">
      <w:pPr>
        <w:ind w:left="540" w:hanging="540"/>
        <w:jc w:val="both"/>
        <w:rPr>
          <w:sz w:val="20"/>
          <w:lang w:eastAsia="fr-FR"/>
        </w:rPr>
      </w:pPr>
      <w:r w:rsidRPr="00A60847">
        <w:rPr>
          <w:sz w:val="20"/>
          <w:lang w:eastAsia="fr-FR"/>
        </w:rPr>
        <w:t xml:space="preserve">1. </w:t>
      </w:r>
      <w:r w:rsidRPr="00A60847">
        <w:rPr>
          <w:sz w:val="20"/>
          <w:lang w:eastAsia="fr-FR"/>
        </w:rPr>
        <w:tab/>
        <w:t>Le salaire moyen brut au 31 janvier 20</w:t>
      </w:r>
      <w:r w:rsidR="004163F7">
        <w:rPr>
          <w:sz w:val="20"/>
          <w:lang w:eastAsia="fr-FR"/>
        </w:rPr>
        <w:t>20</w:t>
      </w:r>
      <w:r w:rsidRPr="00A60847">
        <w:rPr>
          <w:sz w:val="20"/>
          <w:lang w:eastAsia="fr-FR"/>
        </w:rPr>
        <w:t xml:space="preserve"> des membres des conseils de direction des établissements primaires et/ou secondaires vaudois (ETP « direction ») est de :</w:t>
      </w:r>
    </w:p>
    <w:p w:rsidR="00A60847" w:rsidRPr="00A60847" w:rsidRDefault="00A60847" w:rsidP="00A60847">
      <w:pPr>
        <w:ind w:left="540" w:hanging="540"/>
        <w:jc w:val="center"/>
        <w:rPr>
          <w:sz w:val="20"/>
          <w:lang w:eastAsia="fr-FR"/>
        </w:rPr>
      </w:pPr>
    </w:p>
    <w:p w:rsidR="00A60847" w:rsidRPr="00A60847" w:rsidRDefault="00A60847" w:rsidP="00A60847">
      <w:pPr>
        <w:ind w:left="540" w:hanging="540"/>
        <w:jc w:val="center"/>
        <w:rPr>
          <w:rFonts w:cs="Arial"/>
          <w:b/>
          <w:bCs/>
          <w:szCs w:val="24"/>
          <w:lang w:eastAsia="fr-FR"/>
        </w:rPr>
      </w:pPr>
      <w:r w:rsidRPr="00A60847">
        <w:rPr>
          <w:rFonts w:cs="Arial"/>
          <w:b/>
          <w:bCs/>
          <w:szCs w:val="24"/>
          <w:lang w:eastAsia="fr-FR"/>
        </w:rPr>
        <w:t>CHF 1</w:t>
      </w:r>
      <w:r w:rsidR="003A21EF">
        <w:rPr>
          <w:rFonts w:cs="Arial"/>
          <w:b/>
          <w:bCs/>
          <w:szCs w:val="24"/>
          <w:lang w:eastAsia="fr-FR"/>
        </w:rPr>
        <w:t>70’</w:t>
      </w:r>
      <w:r w:rsidR="004163F7">
        <w:rPr>
          <w:rFonts w:cs="Arial"/>
          <w:b/>
          <w:bCs/>
          <w:szCs w:val="24"/>
          <w:lang w:eastAsia="fr-FR"/>
        </w:rPr>
        <w:t>030</w:t>
      </w:r>
      <w:r w:rsidRPr="00A60847">
        <w:rPr>
          <w:rFonts w:cs="Arial"/>
          <w:b/>
          <w:bCs/>
          <w:szCs w:val="24"/>
          <w:lang w:eastAsia="fr-FR"/>
        </w:rPr>
        <w:t>.-</w:t>
      </w:r>
    </w:p>
    <w:p w:rsidR="00A60847" w:rsidRPr="00A60847" w:rsidRDefault="00A60847" w:rsidP="00A60847">
      <w:pPr>
        <w:ind w:left="540" w:hanging="540"/>
        <w:jc w:val="center"/>
        <w:rPr>
          <w:rFonts w:cs="Arial"/>
          <w:sz w:val="20"/>
          <w:lang w:eastAsia="fr-FR"/>
        </w:rPr>
      </w:pPr>
    </w:p>
    <w:p w:rsidR="00A60847" w:rsidRPr="00A60847" w:rsidRDefault="00A60847" w:rsidP="00A60847">
      <w:pPr>
        <w:ind w:left="540" w:hanging="540"/>
        <w:jc w:val="both"/>
        <w:rPr>
          <w:sz w:val="20"/>
          <w:lang w:eastAsia="fr-FR"/>
        </w:rPr>
      </w:pPr>
      <w:r w:rsidRPr="00A60847">
        <w:rPr>
          <w:sz w:val="20"/>
          <w:lang w:eastAsia="fr-FR"/>
        </w:rPr>
        <w:t xml:space="preserve">2. </w:t>
      </w:r>
      <w:r w:rsidRPr="00A60847">
        <w:rPr>
          <w:sz w:val="20"/>
          <w:lang w:eastAsia="fr-FR"/>
        </w:rPr>
        <w:tab/>
        <w:t>Le salaire moyen brut au 31 janvier 20</w:t>
      </w:r>
      <w:r w:rsidR="004163F7">
        <w:rPr>
          <w:sz w:val="20"/>
          <w:lang w:eastAsia="fr-FR"/>
        </w:rPr>
        <w:t>20</w:t>
      </w:r>
      <w:r w:rsidRPr="00A60847">
        <w:rPr>
          <w:sz w:val="20"/>
          <w:lang w:eastAsia="fr-FR"/>
        </w:rPr>
        <w:t xml:space="preserve"> des collaborateurs administratifs du secrétariat des établissements primaires et/ou secondaires vaudois (ETP « secrétariat ») est de :</w:t>
      </w:r>
    </w:p>
    <w:p w:rsidR="00A60847" w:rsidRPr="00A60847" w:rsidRDefault="00A60847" w:rsidP="00A60847">
      <w:pPr>
        <w:ind w:left="540" w:hanging="540"/>
        <w:jc w:val="center"/>
        <w:rPr>
          <w:sz w:val="20"/>
          <w:lang w:eastAsia="fr-FR"/>
        </w:rPr>
      </w:pPr>
    </w:p>
    <w:p w:rsidR="00A60847" w:rsidRPr="00104FA6" w:rsidRDefault="00A60847" w:rsidP="00104FA6">
      <w:pPr>
        <w:ind w:left="540" w:hanging="540"/>
        <w:jc w:val="center"/>
        <w:rPr>
          <w:rFonts w:cs="Arial"/>
          <w:b/>
          <w:bCs/>
          <w:szCs w:val="24"/>
          <w:lang w:eastAsia="fr-FR"/>
        </w:rPr>
      </w:pPr>
      <w:r w:rsidRPr="00A60847">
        <w:rPr>
          <w:rFonts w:cs="Arial"/>
          <w:b/>
          <w:bCs/>
          <w:szCs w:val="24"/>
          <w:lang w:eastAsia="fr-FR"/>
        </w:rPr>
        <w:t xml:space="preserve">CHF </w:t>
      </w:r>
      <w:r w:rsidR="003A21EF">
        <w:rPr>
          <w:rFonts w:cs="Arial"/>
          <w:b/>
          <w:bCs/>
          <w:szCs w:val="24"/>
          <w:lang w:eastAsia="fr-FR"/>
        </w:rPr>
        <w:t>99’</w:t>
      </w:r>
      <w:r w:rsidR="004163F7">
        <w:rPr>
          <w:rFonts w:cs="Arial"/>
          <w:b/>
          <w:bCs/>
          <w:szCs w:val="24"/>
          <w:lang w:eastAsia="fr-FR"/>
        </w:rPr>
        <w:t>510</w:t>
      </w:r>
      <w:r w:rsidRPr="00A60847">
        <w:rPr>
          <w:rFonts w:cs="Arial"/>
          <w:b/>
          <w:bCs/>
          <w:szCs w:val="24"/>
          <w:lang w:eastAsia="fr-FR"/>
        </w:rPr>
        <w:t>.-</w:t>
      </w:r>
    </w:p>
    <w:p w:rsidR="00A60847" w:rsidRPr="00A60847" w:rsidRDefault="00A60847" w:rsidP="00A60847">
      <w:pPr>
        <w:ind w:left="540" w:hanging="540"/>
        <w:jc w:val="center"/>
        <w:rPr>
          <w:sz w:val="20"/>
          <w:lang w:eastAsia="fr-FR"/>
        </w:rPr>
      </w:pPr>
    </w:p>
    <w:p w:rsidR="00A60847" w:rsidRPr="00A60847" w:rsidRDefault="00A60847" w:rsidP="00A60847">
      <w:pPr>
        <w:ind w:left="540" w:hanging="540"/>
        <w:jc w:val="both"/>
        <w:rPr>
          <w:sz w:val="20"/>
          <w:lang w:eastAsia="fr-FR"/>
        </w:rPr>
      </w:pPr>
      <w:r w:rsidRPr="00A60847">
        <w:rPr>
          <w:sz w:val="20"/>
          <w:lang w:eastAsia="fr-FR"/>
        </w:rPr>
        <w:t xml:space="preserve">3. </w:t>
      </w:r>
      <w:r w:rsidRPr="00A60847">
        <w:rPr>
          <w:sz w:val="20"/>
          <w:lang w:eastAsia="fr-FR"/>
        </w:rPr>
        <w:tab/>
        <w:t>Le montant total annuel dû pour les salaires est égal à la somme des montants calculés en multipliant le total des ETP « direction » et des ETP « secrétariat » correspondant aux tâches déléguées par le montant du salaire moyen correspondant.</w:t>
      </w:r>
    </w:p>
    <w:p w:rsidR="00A60847" w:rsidRPr="00A60847" w:rsidRDefault="00A60847" w:rsidP="00A60847">
      <w:pPr>
        <w:ind w:left="540" w:hanging="540"/>
        <w:rPr>
          <w:sz w:val="20"/>
          <w:lang w:eastAsia="fr-FR"/>
        </w:rPr>
      </w:pPr>
      <w:bookmarkStart w:id="0" w:name="_GoBack"/>
      <w:bookmarkEnd w:id="0"/>
    </w:p>
    <w:p w:rsidR="00A60847" w:rsidRPr="00A60847" w:rsidRDefault="00A60847" w:rsidP="00A60847">
      <w:pPr>
        <w:ind w:left="540" w:hanging="540"/>
        <w:rPr>
          <w:sz w:val="20"/>
          <w:lang w:eastAsia="fr-FR"/>
        </w:rPr>
      </w:pPr>
      <w:r w:rsidRPr="00A60847">
        <w:rPr>
          <w:sz w:val="20"/>
          <w:lang w:eastAsia="fr-FR"/>
        </w:rPr>
        <w:t xml:space="preserve">4. </w:t>
      </w:r>
      <w:r w:rsidRPr="00A60847">
        <w:rPr>
          <w:sz w:val="20"/>
          <w:lang w:eastAsia="fr-FR"/>
        </w:rPr>
        <w:tab/>
        <w:t>Le montant du forfait pour les frais administratifs liés aux tâches accomplies est de 8% des salaires dus pour les tâches ETP « secrétariat » calculés sous chiffre 3 ci-dessus.</w:t>
      </w:r>
    </w:p>
    <w:p w:rsidR="00A60847" w:rsidRPr="00A60847" w:rsidRDefault="00A60847" w:rsidP="00A60847">
      <w:pPr>
        <w:ind w:left="540" w:hanging="540"/>
        <w:jc w:val="both"/>
        <w:rPr>
          <w:sz w:val="20"/>
          <w:lang w:eastAsia="fr-FR"/>
        </w:rPr>
      </w:pPr>
    </w:p>
    <w:p w:rsidR="00A60847" w:rsidRDefault="00A60847" w:rsidP="00A60847">
      <w:pPr>
        <w:numPr>
          <w:ilvl w:val="0"/>
          <w:numId w:val="2"/>
        </w:numPr>
        <w:jc w:val="both"/>
        <w:rPr>
          <w:sz w:val="20"/>
          <w:lang w:eastAsia="fr-FR"/>
        </w:rPr>
      </w:pPr>
      <w:r w:rsidRPr="002D72AB">
        <w:rPr>
          <w:sz w:val="20"/>
          <w:lang w:eastAsia="fr-FR"/>
        </w:rPr>
        <w:t xml:space="preserve">Les </w:t>
      </w:r>
      <w:r w:rsidR="002D72AB" w:rsidRPr="002D72AB">
        <w:rPr>
          <w:sz w:val="20"/>
        </w:rPr>
        <w:t>montants concernent l’année civile en cours et sont payables au 30 juin pour la période janvier-juillet, et respectivement au 30 novembre pour la période août-décembre</w:t>
      </w:r>
      <w:r w:rsidR="002D72AB">
        <w:rPr>
          <w:sz w:val="20"/>
          <w:lang w:eastAsia="fr-FR"/>
        </w:rPr>
        <w:t>.</w:t>
      </w:r>
    </w:p>
    <w:p w:rsidR="002D72AB" w:rsidRPr="002D72AB" w:rsidRDefault="002D72AB" w:rsidP="002D72AB">
      <w:pPr>
        <w:ind w:left="540"/>
        <w:jc w:val="both"/>
        <w:rPr>
          <w:sz w:val="20"/>
          <w:lang w:eastAsia="fr-FR"/>
        </w:rPr>
      </w:pPr>
    </w:p>
    <w:p w:rsidR="00A60847" w:rsidRPr="00A60847" w:rsidRDefault="00A60847" w:rsidP="00A60847">
      <w:pPr>
        <w:numPr>
          <w:ilvl w:val="0"/>
          <w:numId w:val="2"/>
        </w:numPr>
        <w:jc w:val="both"/>
        <w:rPr>
          <w:sz w:val="20"/>
          <w:lang w:eastAsia="fr-FR"/>
        </w:rPr>
      </w:pPr>
      <w:r w:rsidRPr="00A60847">
        <w:rPr>
          <w:sz w:val="20"/>
          <w:lang w:eastAsia="fr-FR"/>
        </w:rPr>
        <w:t>La Direction générale de l’enseignement obligatoire informe chaque année au plus tard le 30 avril les signataires de la convention de la valeur des salaires moyens pris en compte pour la facturation des prestations pour l’année civile en cours.</w:t>
      </w:r>
    </w:p>
    <w:p w:rsidR="00A60847" w:rsidRPr="00A60847" w:rsidRDefault="00A60847" w:rsidP="00A60847">
      <w:pPr>
        <w:jc w:val="both"/>
        <w:rPr>
          <w:szCs w:val="24"/>
          <w:lang w:eastAsia="fr-FR"/>
        </w:rPr>
      </w:pPr>
    </w:p>
    <w:p w:rsidR="006A75E6" w:rsidRDefault="006A75E6" w:rsidP="00A60847">
      <w:pPr>
        <w:tabs>
          <w:tab w:val="left" w:pos="851"/>
        </w:tabs>
        <w:ind w:left="993"/>
        <w:rPr>
          <w:sz w:val="20"/>
        </w:rPr>
      </w:pPr>
    </w:p>
    <w:sectPr w:rsidR="006A75E6" w:rsidSect="005002D4">
      <w:headerReference w:type="even" r:id="rId9"/>
      <w:headerReference w:type="default" r:id="rId10"/>
      <w:footerReference w:type="default" r:id="rId11"/>
      <w:footerReference w:type="first" r:id="rId12"/>
      <w:pgSz w:w="11907" w:h="16840" w:code="9"/>
      <w:pgMar w:top="567" w:right="1134" w:bottom="1560" w:left="1134" w:header="720" w:footer="5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D3" w:rsidRDefault="00CF0ED3">
      <w:r>
        <w:separator/>
      </w:r>
    </w:p>
  </w:endnote>
  <w:endnote w:type="continuationSeparator" w:id="0">
    <w:p w:rsidR="00CF0ED3" w:rsidRDefault="00CF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176" w:type="dxa"/>
      <w:tblLayout w:type="fixed"/>
      <w:tblLook w:val="01E0" w:firstRow="1" w:lastRow="1" w:firstColumn="1" w:lastColumn="1" w:noHBand="0" w:noVBand="0"/>
    </w:tblPr>
    <w:tblGrid>
      <w:gridCol w:w="851"/>
      <w:gridCol w:w="236"/>
      <w:gridCol w:w="8505"/>
    </w:tblGrid>
    <w:tr w:rsidR="00277CD2" w:rsidRPr="003D10EB" w:rsidTr="003D10EB">
      <w:trPr>
        <w:trHeight w:val="992"/>
      </w:trPr>
      <w:tc>
        <w:tcPr>
          <w:tcW w:w="851" w:type="dxa"/>
          <w:vAlign w:val="bottom"/>
        </w:tcPr>
        <w:p w:rsidR="00277CD2" w:rsidRPr="003D10EB" w:rsidRDefault="00277CD2" w:rsidP="003D10EB">
          <w:pPr>
            <w:jc w:val="center"/>
            <w:rPr>
              <w:bCs/>
              <w:i/>
            </w:rPr>
          </w:pPr>
        </w:p>
      </w:tc>
      <w:tc>
        <w:tcPr>
          <w:tcW w:w="236" w:type="dxa"/>
          <w:vAlign w:val="bottom"/>
        </w:tcPr>
        <w:p w:rsidR="00277CD2" w:rsidRDefault="00277CD2" w:rsidP="003D10EB">
          <w:pPr>
            <w:pStyle w:val="Pieddepage"/>
            <w:jc w:val="center"/>
          </w:pPr>
        </w:p>
      </w:tc>
      <w:tc>
        <w:tcPr>
          <w:tcW w:w="8505" w:type="dxa"/>
          <w:vAlign w:val="bottom"/>
        </w:tcPr>
        <w:p w:rsidR="00277CD2" w:rsidRPr="003D10EB" w:rsidRDefault="00277CD2" w:rsidP="003D10EB">
          <w:pPr>
            <w:pStyle w:val="Pieddepage"/>
            <w:ind w:left="82"/>
            <w:rPr>
              <w:spacing w:val="-6"/>
              <w:sz w:val="16"/>
              <w:szCs w:val="16"/>
            </w:rPr>
          </w:pPr>
          <w:r w:rsidRPr="003D10EB">
            <w:rPr>
              <w:spacing w:val="-6"/>
              <w:sz w:val="16"/>
              <w:szCs w:val="16"/>
            </w:rPr>
            <w:t>Nom du service + mention éventuelle du département auquel il est rattaché</w:t>
          </w:r>
        </w:p>
        <w:p w:rsidR="00277CD2" w:rsidRPr="003D10EB" w:rsidRDefault="00277CD2" w:rsidP="003D10EB">
          <w:pPr>
            <w:pStyle w:val="Pieddepage"/>
            <w:ind w:left="82"/>
            <w:rPr>
              <w:lang w:val="de-CH"/>
            </w:rPr>
          </w:pPr>
          <w:r w:rsidRPr="003D10EB">
            <w:rPr>
              <w:spacing w:val="-6"/>
              <w:sz w:val="16"/>
              <w:szCs w:val="16"/>
              <w:lang w:val="de-CH"/>
            </w:rPr>
            <w:t xml:space="preserve">www.vd.ch – T + 41 21 316 xx </w:t>
          </w:r>
          <w:proofErr w:type="spellStart"/>
          <w:r w:rsidRPr="003D10EB">
            <w:rPr>
              <w:spacing w:val="-6"/>
              <w:sz w:val="16"/>
              <w:szCs w:val="16"/>
              <w:lang w:val="de-CH"/>
            </w:rPr>
            <w:t>xx</w:t>
          </w:r>
          <w:proofErr w:type="spellEnd"/>
          <w:r w:rsidRPr="003D10EB">
            <w:rPr>
              <w:spacing w:val="-6"/>
              <w:sz w:val="16"/>
              <w:szCs w:val="16"/>
              <w:lang w:val="de-CH"/>
            </w:rPr>
            <w:t xml:space="preserve"> – F + 41 21 316 xx </w:t>
          </w:r>
          <w:proofErr w:type="spellStart"/>
          <w:r w:rsidRPr="003D10EB">
            <w:rPr>
              <w:spacing w:val="-6"/>
              <w:sz w:val="16"/>
              <w:szCs w:val="16"/>
              <w:lang w:val="de-CH"/>
            </w:rPr>
            <w:t>xx</w:t>
          </w:r>
          <w:proofErr w:type="spellEnd"/>
          <w:r w:rsidRPr="003D10EB">
            <w:rPr>
              <w:spacing w:val="-6"/>
              <w:sz w:val="16"/>
              <w:szCs w:val="16"/>
              <w:lang w:val="de-CH"/>
            </w:rPr>
            <w:t xml:space="preserve"> – xxxx@vd.ch</w:t>
          </w:r>
        </w:p>
      </w:tc>
    </w:tr>
  </w:tbl>
  <w:p w:rsidR="00277CD2" w:rsidRPr="00EB407B" w:rsidRDefault="00277CD2">
    <w:pPr>
      <w:pStyle w:val="Pieddepage"/>
      <w:rPr>
        <w:sz w:val="2"/>
        <w:szCs w:val="2"/>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6698" w:type="dxa"/>
      <w:tblInd w:w="-176" w:type="dxa"/>
      <w:tblLayout w:type="fixed"/>
      <w:tblLook w:val="01E0" w:firstRow="1" w:lastRow="1" w:firstColumn="1" w:lastColumn="1" w:noHBand="0" w:noVBand="0"/>
    </w:tblPr>
    <w:tblGrid>
      <w:gridCol w:w="900"/>
      <w:gridCol w:w="283"/>
      <w:gridCol w:w="8505"/>
      <w:gridCol w:w="8505"/>
      <w:gridCol w:w="8505"/>
    </w:tblGrid>
    <w:tr w:rsidR="00FF6B52" w:rsidRPr="003D10EB" w:rsidTr="00153149">
      <w:trPr>
        <w:trHeight w:val="992"/>
      </w:trPr>
      <w:tc>
        <w:tcPr>
          <w:tcW w:w="900" w:type="dxa"/>
          <w:vAlign w:val="bottom"/>
        </w:tcPr>
        <w:p w:rsidR="00FF6B52" w:rsidRPr="003D10EB" w:rsidRDefault="00FF6B52" w:rsidP="003D10EB">
          <w:pPr>
            <w:jc w:val="center"/>
            <w:rPr>
              <w:bCs/>
              <w:i/>
            </w:rPr>
          </w:pPr>
        </w:p>
      </w:tc>
      <w:tc>
        <w:tcPr>
          <w:tcW w:w="283" w:type="dxa"/>
          <w:vAlign w:val="bottom"/>
        </w:tcPr>
        <w:p w:rsidR="00FF6B52" w:rsidRDefault="00FF6B52" w:rsidP="003D10EB">
          <w:pPr>
            <w:pStyle w:val="Pieddepage"/>
            <w:jc w:val="center"/>
          </w:pPr>
        </w:p>
      </w:tc>
      <w:tc>
        <w:tcPr>
          <w:tcW w:w="8505" w:type="dxa"/>
          <w:vAlign w:val="bottom"/>
        </w:tcPr>
        <w:p w:rsidR="00FF6B52" w:rsidRPr="003D10EB" w:rsidRDefault="00FF6B52" w:rsidP="00FF6B52">
          <w:pPr>
            <w:pStyle w:val="Pieddepage"/>
            <w:rPr>
              <w:spacing w:val="-6"/>
              <w:sz w:val="16"/>
              <w:szCs w:val="16"/>
            </w:rPr>
          </w:pPr>
          <w:r w:rsidRPr="003D10EB">
            <w:rPr>
              <w:spacing w:val="-6"/>
              <w:sz w:val="16"/>
              <w:szCs w:val="16"/>
            </w:rPr>
            <w:t>Département de la formation, de la jeunesse et de la culture</w:t>
          </w:r>
        </w:p>
        <w:p w:rsidR="00FF6B52" w:rsidRDefault="00FF6B52" w:rsidP="00FF6B52">
          <w:pPr>
            <w:pStyle w:val="Pieddepage"/>
            <w:tabs>
              <w:tab w:val="clear" w:pos="4536"/>
            </w:tabs>
          </w:pPr>
          <w:r w:rsidRPr="003D10EB">
            <w:rPr>
              <w:spacing w:val="-6"/>
              <w:sz w:val="16"/>
              <w:szCs w:val="16"/>
              <w:lang w:val="de-CH"/>
            </w:rPr>
            <w:t>www.vd.ch/dgeo – T</w:t>
          </w:r>
          <w:r w:rsidR="001C796A">
            <w:rPr>
              <w:spacing w:val="-6"/>
              <w:sz w:val="16"/>
              <w:szCs w:val="16"/>
              <w:lang w:val="de-CH"/>
            </w:rPr>
            <w:t xml:space="preserve"> + 41 21 316  31 20</w:t>
          </w:r>
          <w:r>
            <w:rPr>
              <w:spacing w:val="-6"/>
              <w:sz w:val="16"/>
              <w:szCs w:val="16"/>
              <w:lang w:val="de-CH"/>
            </w:rPr>
            <w:t xml:space="preserve"> – </w:t>
          </w:r>
          <w:r w:rsidRPr="003D10EB">
            <w:rPr>
              <w:spacing w:val="-6"/>
              <w:sz w:val="16"/>
              <w:szCs w:val="16"/>
              <w:lang w:val="de-CH"/>
            </w:rPr>
            <w:t xml:space="preserve">Email : </w:t>
          </w:r>
          <w:r w:rsidR="001C796A">
            <w:rPr>
              <w:spacing w:val="-6"/>
              <w:sz w:val="16"/>
              <w:szCs w:val="16"/>
              <w:lang w:val="de-CH"/>
            </w:rPr>
            <w:t>christine.bossuat</w:t>
          </w:r>
          <w:r w:rsidRPr="003D10EB">
            <w:rPr>
              <w:spacing w:val="-6"/>
              <w:sz w:val="16"/>
              <w:szCs w:val="16"/>
              <w:lang w:val="de-CH"/>
            </w:rPr>
            <w:t>@vd.ch</w:t>
          </w:r>
        </w:p>
      </w:tc>
      <w:tc>
        <w:tcPr>
          <w:tcW w:w="8505" w:type="dxa"/>
          <w:vAlign w:val="bottom"/>
        </w:tcPr>
        <w:p w:rsidR="00FF6B52" w:rsidRPr="003D10EB" w:rsidRDefault="00FF6B52" w:rsidP="00777DC3">
          <w:pPr>
            <w:pStyle w:val="Pieddepage"/>
            <w:rPr>
              <w:lang w:val="de-CH"/>
            </w:rPr>
          </w:pPr>
        </w:p>
      </w:tc>
      <w:tc>
        <w:tcPr>
          <w:tcW w:w="8505" w:type="dxa"/>
          <w:vAlign w:val="bottom"/>
        </w:tcPr>
        <w:p w:rsidR="00FF6B52" w:rsidRPr="003D10EB" w:rsidRDefault="00FF6B52" w:rsidP="00CB6728">
          <w:pPr>
            <w:pStyle w:val="Pieddepage"/>
            <w:rPr>
              <w:spacing w:val="-6"/>
              <w:sz w:val="16"/>
              <w:szCs w:val="16"/>
            </w:rPr>
          </w:pPr>
          <w:r w:rsidRPr="003D10EB">
            <w:rPr>
              <w:spacing w:val="-6"/>
              <w:sz w:val="16"/>
              <w:szCs w:val="16"/>
            </w:rPr>
            <w:t>Département de la formation, de la jeunesse et de la culture</w:t>
          </w:r>
        </w:p>
        <w:p w:rsidR="00FF6B52" w:rsidRPr="003D10EB" w:rsidRDefault="00FF6B52" w:rsidP="00A15E8F">
          <w:pPr>
            <w:pStyle w:val="Pieddepage"/>
            <w:rPr>
              <w:lang w:val="de-CH"/>
            </w:rPr>
          </w:pPr>
          <w:r w:rsidRPr="003D10EB">
            <w:rPr>
              <w:spacing w:val="-6"/>
              <w:sz w:val="16"/>
              <w:szCs w:val="16"/>
              <w:lang w:val="de-CH"/>
            </w:rPr>
            <w:t>www.vd.ch/dgeo – T</w:t>
          </w:r>
          <w:r>
            <w:rPr>
              <w:spacing w:val="-6"/>
              <w:sz w:val="16"/>
              <w:szCs w:val="16"/>
              <w:lang w:val="de-CH"/>
            </w:rPr>
            <w:t xml:space="preserve"> + 41 21 316 32 26 – F + 41 21 316 31 44</w:t>
          </w:r>
          <w:r w:rsidRPr="003D10EB">
            <w:rPr>
              <w:spacing w:val="-6"/>
              <w:sz w:val="16"/>
              <w:szCs w:val="16"/>
              <w:lang w:val="de-CH"/>
            </w:rPr>
            <w:t xml:space="preserve"> –  Email : </w:t>
          </w:r>
          <w:r>
            <w:rPr>
              <w:spacing w:val="-6"/>
              <w:sz w:val="16"/>
              <w:szCs w:val="16"/>
              <w:lang w:val="de-CH"/>
            </w:rPr>
            <w:t>pierre.jaccard</w:t>
          </w:r>
          <w:r w:rsidRPr="003D10EB">
            <w:rPr>
              <w:spacing w:val="-6"/>
              <w:sz w:val="16"/>
              <w:szCs w:val="16"/>
              <w:lang w:val="de-CH"/>
            </w:rPr>
            <w:t>@vd.ch</w:t>
          </w:r>
        </w:p>
      </w:tc>
    </w:tr>
  </w:tbl>
  <w:p w:rsidR="00277CD2" w:rsidRPr="00EE7663" w:rsidRDefault="00277CD2">
    <w:pPr>
      <w:pStyle w:val="Pieddepage"/>
      <w:rPr>
        <w:sz w:val="2"/>
        <w:szCs w:val="2"/>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D3" w:rsidRDefault="00CF0ED3">
      <w:r>
        <w:separator/>
      </w:r>
    </w:p>
  </w:footnote>
  <w:footnote w:type="continuationSeparator" w:id="0">
    <w:p w:rsidR="00CF0ED3" w:rsidRDefault="00CF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D2" w:rsidRDefault="00994296" w:rsidP="000805DD">
    <w:pPr>
      <w:pStyle w:val="En-tte"/>
      <w:framePr w:wrap="around" w:vAnchor="text" w:hAnchor="margin" w:xAlign="right" w:y="1"/>
      <w:rPr>
        <w:rStyle w:val="Numrodepage"/>
      </w:rPr>
    </w:pPr>
    <w:r>
      <w:rPr>
        <w:rStyle w:val="Numrodepage"/>
      </w:rPr>
      <w:fldChar w:fldCharType="begin"/>
    </w:r>
    <w:r w:rsidR="00277CD2">
      <w:rPr>
        <w:rStyle w:val="Numrodepage"/>
      </w:rPr>
      <w:instrText xml:space="preserve">PAGE  </w:instrText>
    </w:r>
    <w:r>
      <w:rPr>
        <w:rStyle w:val="Numrodepage"/>
      </w:rPr>
      <w:fldChar w:fldCharType="end"/>
    </w:r>
  </w:p>
  <w:p w:rsidR="00277CD2" w:rsidRDefault="00277CD2" w:rsidP="000805D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D2" w:rsidRPr="000805DD" w:rsidRDefault="00994296" w:rsidP="000805DD">
    <w:pPr>
      <w:pStyle w:val="En-tte"/>
      <w:framePr w:wrap="around" w:vAnchor="text" w:hAnchor="margin" w:xAlign="right" w:y="1"/>
      <w:rPr>
        <w:rStyle w:val="Numrodepage"/>
        <w:sz w:val="20"/>
      </w:rPr>
    </w:pPr>
    <w:r w:rsidRPr="000805DD">
      <w:rPr>
        <w:rStyle w:val="Numrodepage"/>
        <w:sz w:val="20"/>
      </w:rPr>
      <w:fldChar w:fldCharType="begin"/>
    </w:r>
    <w:r w:rsidR="00277CD2" w:rsidRPr="000805DD">
      <w:rPr>
        <w:rStyle w:val="Numrodepage"/>
        <w:sz w:val="20"/>
      </w:rPr>
      <w:instrText xml:space="preserve">PAGE  </w:instrText>
    </w:r>
    <w:r w:rsidRPr="000805DD">
      <w:rPr>
        <w:rStyle w:val="Numrodepage"/>
        <w:sz w:val="20"/>
      </w:rPr>
      <w:fldChar w:fldCharType="separate"/>
    </w:r>
    <w:r w:rsidR="00A60847">
      <w:rPr>
        <w:rStyle w:val="Numrodepage"/>
        <w:noProof/>
        <w:sz w:val="20"/>
      </w:rPr>
      <w:t>2</w:t>
    </w:r>
    <w:r w:rsidRPr="000805DD">
      <w:rPr>
        <w:rStyle w:val="Numrodepage"/>
        <w:sz w:val="20"/>
      </w:rPr>
      <w:fldChar w:fldCharType="end"/>
    </w:r>
  </w:p>
  <w:tbl>
    <w:tblPr>
      <w:tblW w:w="0" w:type="auto"/>
      <w:tblInd w:w="-214" w:type="dxa"/>
      <w:tblLayout w:type="fixed"/>
      <w:tblCellMar>
        <w:left w:w="70" w:type="dxa"/>
        <w:right w:w="70" w:type="dxa"/>
      </w:tblCellMar>
      <w:tblLook w:val="0000" w:firstRow="0" w:lastRow="0" w:firstColumn="0" w:lastColumn="0" w:noHBand="0" w:noVBand="0"/>
    </w:tblPr>
    <w:tblGrid>
      <w:gridCol w:w="1418"/>
      <w:gridCol w:w="8574"/>
    </w:tblGrid>
    <w:tr w:rsidR="00277CD2">
      <w:tc>
        <w:tcPr>
          <w:tcW w:w="1418" w:type="dxa"/>
        </w:tcPr>
        <w:p w:rsidR="00277CD2" w:rsidRPr="000805DD" w:rsidRDefault="00A045B9" w:rsidP="007B2225">
          <w:pPr>
            <w:ind w:right="71"/>
            <w:jc w:val="right"/>
            <w:rPr>
              <w:szCs w:val="24"/>
            </w:rPr>
          </w:pPr>
          <w:r>
            <w:rPr>
              <w:noProof/>
              <w:szCs w:val="24"/>
              <w:lang w:val="fr-CH"/>
            </w:rPr>
            <w:drawing>
              <wp:inline distT="0" distB="0" distL="0" distR="0">
                <wp:extent cx="476250" cy="790575"/>
                <wp:effectExtent l="19050" t="0" r="0" b="0"/>
                <wp:docPr id="2" name="Image 2" descr="logo-p-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ettre"/>
                        <pic:cNvPicPr>
                          <a:picLocks noChangeAspect="1" noChangeArrowheads="1"/>
                        </pic:cNvPicPr>
                      </pic:nvPicPr>
                      <pic:blipFill>
                        <a:blip r:embed="rId1"/>
                        <a:srcRect/>
                        <a:stretch>
                          <a:fillRect/>
                        </a:stretch>
                      </pic:blipFill>
                      <pic:spPr bwMode="auto">
                        <a:xfrm>
                          <a:off x="0" y="0"/>
                          <a:ext cx="476250" cy="790575"/>
                        </a:xfrm>
                        <a:prstGeom prst="rect">
                          <a:avLst/>
                        </a:prstGeom>
                        <a:noFill/>
                        <a:ln w="9525">
                          <a:noFill/>
                          <a:miter lim="800000"/>
                          <a:headEnd/>
                          <a:tailEnd/>
                        </a:ln>
                      </pic:spPr>
                    </pic:pic>
                  </a:graphicData>
                </a:graphic>
              </wp:inline>
            </w:drawing>
          </w:r>
        </w:p>
      </w:tc>
      <w:tc>
        <w:tcPr>
          <w:tcW w:w="8574" w:type="dxa"/>
        </w:tcPr>
        <w:p w:rsidR="00277CD2" w:rsidRPr="00623A37" w:rsidRDefault="00277CD2" w:rsidP="000805DD">
          <w:pPr>
            <w:tabs>
              <w:tab w:val="right" w:pos="8434"/>
            </w:tabs>
            <w:jc w:val="both"/>
            <w:rPr>
              <w:sz w:val="20"/>
            </w:rPr>
          </w:pPr>
          <w:r>
            <w:rPr>
              <w:sz w:val="20"/>
            </w:rPr>
            <w:t>Nom du service (ou autre entité)</w:t>
          </w:r>
          <w:r w:rsidRPr="00623A37">
            <w:rPr>
              <w:sz w:val="20"/>
            </w:rPr>
            <w:tab/>
          </w:r>
        </w:p>
        <w:p w:rsidR="00277CD2" w:rsidRPr="00F17546" w:rsidRDefault="00277CD2">
          <w:pPr>
            <w:tabs>
              <w:tab w:val="right" w:pos="9001"/>
            </w:tabs>
            <w:jc w:val="both"/>
            <w:rPr>
              <w:b/>
              <w:sz w:val="20"/>
            </w:rPr>
          </w:pPr>
          <w:r>
            <w:rPr>
              <w:b/>
              <w:sz w:val="20"/>
            </w:rPr>
            <w:t>Rappel éventuel de l'objet de la lettre</w:t>
          </w:r>
        </w:p>
        <w:p w:rsidR="00277CD2" w:rsidRDefault="00277CD2">
          <w:pPr>
            <w:tabs>
              <w:tab w:val="right" w:pos="9001"/>
            </w:tabs>
            <w:jc w:val="both"/>
            <w:rPr>
              <w:sz w:val="20"/>
            </w:rPr>
          </w:pPr>
          <w:r>
            <w:rPr>
              <w:sz w:val="20"/>
            </w:rPr>
            <w:tab/>
          </w:r>
        </w:p>
      </w:tc>
    </w:tr>
  </w:tbl>
  <w:p w:rsidR="00277CD2" w:rsidRDefault="00277CD2">
    <w:pPr>
      <w:pStyle w:val="En-tte"/>
      <w:ind w:right="360"/>
    </w:pPr>
  </w:p>
  <w:p w:rsidR="00277CD2" w:rsidRDefault="00277CD2">
    <w:pPr>
      <w:pStyle w:val="En-tte"/>
      <w:ind w:right="360"/>
    </w:pPr>
  </w:p>
  <w:p w:rsidR="00277CD2" w:rsidRDefault="00277CD2">
    <w:pPr>
      <w:pStyle w:val="En-tte"/>
    </w:pPr>
  </w:p>
  <w:p w:rsidR="00277CD2" w:rsidRDefault="00277C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4C3A13"/>
    <w:multiLevelType w:val="singleLevel"/>
    <w:tmpl w:val="3DEC0BD2"/>
    <w:lvl w:ilvl="0">
      <w:start w:val="5"/>
      <w:numFmt w:val="decimal"/>
      <w:lvlText w:val="%1."/>
      <w:lvlJc w:val="left"/>
      <w:pPr>
        <w:tabs>
          <w:tab w:val="num" w:pos="540"/>
        </w:tabs>
        <w:ind w:left="540" w:hanging="54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EB"/>
    <w:rsid w:val="00006FE7"/>
    <w:rsid w:val="00016C58"/>
    <w:rsid w:val="000215A2"/>
    <w:rsid w:val="000350B6"/>
    <w:rsid w:val="00035120"/>
    <w:rsid w:val="000356F1"/>
    <w:rsid w:val="00045374"/>
    <w:rsid w:val="00063D9D"/>
    <w:rsid w:val="00073560"/>
    <w:rsid w:val="000805DD"/>
    <w:rsid w:val="000822EE"/>
    <w:rsid w:val="000A3A06"/>
    <w:rsid w:val="000E0634"/>
    <w:rsid w:val="001024E0"/>
    <w:rsid w:val="00104F86"/>
    <w:rsid w:val="00104FA6"/>
    <w:rsid w:val="00116D7E"/>
    <w:rsid w:val="001603B4"/>
    <w:rsid w:val="00166BCC"/>
    <w:rsid w:val="001C796A"/>
    <w:rsid w:val="001F40D2"/>
    <w:rsid w:val="00233581"/>
    <w:rsid w:val="00277CD2"/>
    <w:rsid w:val="002D72AB"/>
    <w:rsid w:val="002E15B9"/>
    <w:rsid w:val="00303322"/>
    <w:rsid w:val="003073B3"/>
    <w:rsid w:val="00322CD2"/>
    <w:rsid w:val="0036409B"/>
    <w:rsid w:val="00380757"/>
    <w:rsid w:val="003934A0"/>
    <w:rsid w:val="003A21EF"/>
    <w:rsid w:val="003D10EB"/>
    <w:rsid w:val="003D65C7"/>
    <w:rsid w:val="003F6373"/>
    <w:rsid w:val="0040429F"/>
    <w:rsid w:val="004163F7"/>
    <w:rsid w:val="00450EEF"/>
    <w:rsid w:val="00463508"/>
    <w:rsid w:val="004A0315"/>
    <w:rsid w:val="004A7C49"/>
    <w:rsid w:val="004B45F4"/>
    <w:rsid w:val="004C0460"/>
    <w:rsid w:val="004E2907"/>
    <w:rsid w:val="004E2C05"/>
    <w:rsid w:val="005002D4"/>
    <w:rsid w:val="0054653F"/>
    <w:rsid w:val="00554776"/>
    <w:rsid w:val="0056638C"/>
    <w:rsid w:val="005A1CBC"/>
    <w:rsid w:val="005C09B6"/>
    <w:rsid w:val="005D768F"/>
    <w:rsid w:val="005E7E3B"/>
    <w:rsid w:val="00623A37"/>
    <w:rsid w:val="00623F9B"/>
    <w:rsid w:val="006703E3"/>
    <w:rsid w:val="006870EA"/>
    <w:rsid w:val="006A75E6"/>
    <w:rsid w:val="006C35CB"/>
    <w:rsid w:val="006C3D7C"/>
    <w:rsid w:val="006C7ED7"/>
    <w:rsid w:val="00732D13"/>
    <w:rsid w:val="00734F37"/>
    <w:rsid w:val="00735617"/>
    <w:rsid w:val="00750D33"/>
    <w:rsid w:val="007552B5"/>
    <w:rsid w:val="007959B4"/>
    <w:rsid w:val="007A7C2B"/>
    <w:rsid w:val="007B2225"/>
    <w:rsid w:val="00823D40"/>
    <w:rsid w:val="008E77B9"/>
    <w:rsid w:val="00932BE8"/>
    <w:rsid w:val="009422A9"/>
    <w:rsid w:val="0096460C"/>
    <w:rsid w:val="00994296"/>
    <w:rsid w:val="009C1A26"/>
    <w:rsid w:val="00A045B9"/>
    <w:rsid w:val="00A15E8F"/>
    <w:rsid w:val="00A60847"/>
    <w:rsid w:val="00A6544A"/>
    <w:rsid w:val="00A67581"/>
    <w:rsid w:val="00A915A9"/>
    <w:rsid w:val="00AA4B7F"/>
    <w:rsid w:val="00B4064D"/>
    <w:rsid w:val="00B87BE0"/>
    <w:rsid w:val="00BE3817"/>
    <w:rsid w:val="00BE4F65"/>
    <w:rsid w:val="00C66272"/>
    <w:rsid w:val="00CB6728"/>
    <w:rsid w:val="00CD6595"/>
    <w:rsid w:val="00CF0ED3"/>
    <w:rsid w:val="00CF2852"/>
    <w:rsid w:val="00CF2E6F"/>
    <w:rsid w:val="00D02789"/>
    <w:rsid w:val="00D8633E"/>
    <w:rsid w:val="00DB0175"/>
    <w:rsid w:val="00DC6482"/>
    <w:rsid w:val="00DD2544"/>
    <w:rsid w:val="00DE2DDF"/>
    <w:rsid w:val="00E33C55"/>
    <w:rsid w:val="00EB407B"/>
    <w:rsid w:val="00EE7663"/>
    <w:rsid w:val="00F17546"/>
    <w:rsid w:val="00F2400C"/>
    <w:rsid w:val="00F3045E"/>
    <w:rsid w:val="00F53672"/>
    <w:rsid w:val="00F87B97"/>
    <w:rsid w:val="00F91341"/>
    <w:rsid w:val="00FB45BF"/>
    <w:rsid w:val="00FF6B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6F"/>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2E6F"/>
    <w:pPr>
      <w:tabs>
        <w:tab w:val="center" w:pos="4536"/>
        <w:tab w:val="right" w:pos="9072"/>
      </w:tabs>
    </w:pPr>
  </w:style>
  <w:style w:type="paragraph" w:styleId="Pieddepage">
    <w:name w:val="footer"/>
    <w:basedOn w:val="Normal"/>
    <w:link w:val="PieddepageCar"/>
    <w:rsid w:val="00CF2E6F"/>
    <w:pPr>
      <w:tabs>
        <w:tab w:val="center" w:pos="4536"/>
        <w:tab w:val="right" w:pos="9072"/>
      </w:tabs>
    </w:pPr>
  </w:style>
  <w:style w:type="character" w:styleId="Numrodepage">
    <w:name w:val="page number"/>
    <w:basedOn w:val="Policepardfaut"/>
    <w:rsid w:val="00CF2E6F"/>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E0634"/>
    <w:rPr>
      <w:color w:val="0000FF"/>
      <w:u w:val="single"/>
    </w:rPr>
  </w:style>
  <w:style w:type="paragraph" w:styleId="Textedebulles">
    <w:name w:val="Balloon Text"/>
    <w:basedOn w:val="Normal"/>
    <w:link w:val="TextedebullesCar"/>
    <w:uiPriority w:val="99"/>
    <w:semiHidden/>
    <w:unhideWhenUsed/>
    <w:rsid w:val="00932BE8"/>
    <w:rPr>
      <w:rFonts w:ascii="Tahoma" w:hAnsi="Tahoma" w:cs="Tahoma"/>
      <w:sz w:val="16"/>
      <w:szCs w:val="16"/>
    </w:rPr>
  </w:style>
  <w:style w:type="character" w:customStyle="1" w:styleId="TextedebullesCar">
    <w:name w:val="Texte de bulles Car"/>
    <w:basedOn w:val="Policepardfaut"/>
    <w:link w:val="Textedebulles"/>
    <w:uiPriority w:val="99"/>
    <w:semiHidden/>
    <w:rsid w:val="00932BE8"/>
    <w:rPr>
      <w:rFonts w:ascii="Tahoma" w:hAnsi="Tahoma" w:cs="Tahoma"/>
      <w:sz w:val="16"/>
      <w:szCs w:val="16"/>
      <w:lang w:val="fr-FR"/>
    </w:rPr>
  </w:style>
  <w:style w:type="character" w:customStyle="1" w:styleId="PieddepageCar">
    <w:name w:val="Pied de page Car"/>
    <w:basedOn w:val="Policepardfaut"/>
    <w:link w:val="Pieddepage"/>
    <w:rsid w:val="00FF6B52"/>
    <w:rPr>
      <w:rFonts w:ascii="Arial" w:hAnsi="Arial"/>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6F"/>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2E6F"/>
    <w:pPr>
      <w:tabs>
        <w:tab w:val="center" w:pos="4536"/>
        <w:tab w:val="right" w:pos="9072"/>
      </w:tabs>
    </w:pPr>
  </w:style>
  <w:style w:type="paragraph" w:styleId="Pieddepage">
    <w:name w:val="footer"/>
    <w:basedOn w:val="Normal"/>
    <w:link w:val="PieddepageCar"/>
    <w:rsid w:val="00CF2E6F"/>
    <w:pPr>
      <w:tabs>
        <w:tab w:val="center" w:pos="4536"/>
        <w:tab w:val="right" w:pos="9072"/>
      </w:tabs>
    </w:pPr>
  </w:style>
  <w:style w:type="character" w:styleId="Numrodepage">
    <w:name w:val="page number"/>
    <w:basedOn w:val="Policepardfaut"/>
    <w:rsid w:val="00CF2E6F"/>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E0634"/>
    <w:rPr>
      <w:color w:val="0000FF"/>
      <w:u w:val="single"/>
    </w:rPr>
  </w:style>
  <w:style w:type="paragraph" w:styleId="Textedebulles">
    <w:name w:val="Balloon Text"/>
    <w:basedOn w:val="Normal"/>
    <w:link w:val="TextedebullesCar"/>
    <w:uiPriority w:val="99"/>
    <w:semiHidden/>
    <w:unhideWhenUsed/>
    <w:rsid w:val="00932BE8"/>
    <w:rPr>
      <w:rFonts w:ascii="Tahoma" w:hAnsi="Tahoma" w:cs="Tahoma"/>
      <w:sz w:val="16"/>
      <w:szCs w:val="16"/>
    </w:rPr>
  </w:style>
  <w:style w:type="character" w:customStyle="1" w:styleId="TextedebullesCar">
    <w:name w:val="Texte de bulles Car"/>
    <w:basedOn w:val="Policepardfaut"/>
    <w:link w:val="Textedebulles"/>
    <w:uiPriority w:val="99"/>
    <w:semiHidden/>
    <w:rsid w:val="00932BE8"/>
    <w:rPr>
      <w:rFonts w:ascii="Tahoma" w:hAnsi="Tahoma" w:cs="Tahoma"/>
      <w:sz w:val="16"/>
      <w:szCs w:val="16"/>
      <w:lang w:val="fr-FR"/>
    </w:rPr>
  </w:style>
  <w:style w:type="character" w:customStyle="1" w:styleId="PieddepageCar">
    <w:name w:val="Pied de page Car"/>
    <w:basedOn w:val="Policepardfaut"/>
    <w:link w:val="Pieddepage"/>
    <w:rsid w:val="00FF6B52"/>
    <w:rPr>
      <w:rFonts w:ascii="Arial" w:hAnsi="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ndle\Bureau\Mod&#232;le%20DGEO-DOP%202012%20-%20PJ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DGEO-DOP 2012 - PJD.dot</Template>
  <TotalTime>15</TotalTime>
  <Pages>1</Pages>
  <Words>365</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zendle</dc:creator>
  <cp:lastModifiedBy>BOSSUAT Christine</cp:lastModifiedBy>
  <cp:revision>9</cp:revision>
  <cp:lastPrinted>2017-03-24T09:14:00Z</cp:lastPrinted>
  <dcterms:created xsi:type="dcterms:W3CDTF">2017-03-24T08:42:00Z</dcterms:created>
  <dcterms:modified xsi:type="dcterms:W3CDTF">2020-03-20T09:27:00Z</dcterms:modified>
</cp:coreProperties>
</file>

<file path=docProps/custom.xml><?xml version="1.0" encoding="utf-8"?>
<Properties xmlns="http://schemas.openxmlformats.org/officeDocument/2006/custom-properties" xmlns:vt="http://schemas.openxmlformats.org/officeDocument/2006/docPropsVTypes"/>
</file>